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B" w:rsidRPr="001C11DA" w:rsidRDefault="00AE3592" w:rsidP="00D70C39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1C11DA">
        <w:rPr>
          <w:rFonts w:ascii="Trebuchet MS" w:hAnsi="Trebuchet MS"/>
          <w:b/>
          <w:bCs/>
          <w:noProof/>
          <w:sz w:val="28"/>
          <w:szCs w:val="28"/>
          <w:u w:val="single"/>
          <w:lang w:eastAsia="de-AT"/>
        </w:rPr>
        <w:drawing>
          <wp:anchor distT="0" distB="0" distL="114300" distR="114300" simplePos="0" relativeHeight="251659264" behindDoc="0" locked="0" layoutInCell="1" allowOverlap="1" wp14:anchorId="5E52658E" wp14:editId="1A0ED666">
            <wp:simplePos x="0" y="0"/>
            <wp:positionH relativeFrom="column">
              <wp:posOffset>4152265</wp:posOffset>
            </wp:positionH>
            <wp:positionV relativeFrom="paragraph">
              <wp:posOffset>-511117</wp:posOffset>
            </wp:positionV>
            <wp:extent cx="1981200" cy="609600"/>
            <wp:effectExtent l="0" t="0" r="0" b="0"/>
            <wp:wrapNone/>
            <wp:docPr id="2" name="Bild 4" descr="Y:\Logos\wkt\jpg\wkt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Logos\wkt\jpg\wkt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DA" w:rsidRPr="001C11DA">
        <w:rPr>
          <w:rFonts w:ascii="Trebuchet MS" w:hAnsi="Trebuchet MS"/>
          <w:b/>
          <w:bCs/>
          <w:sz w:val="28"/>
          <w:szCs w:val="28"/>
          <w:u w:val="single"/>
        </w:rPr>
        <w:t>LANGFASSUNG</w:t>
      </w:r>
    </w:p>
    <w:p w:rsidR="00DD66EC" w:rsidRDefault="00DD66EC" w:rsidP="00D70C39">
      <w:pPr>
        <w:rPr>
          <w:rFonts w:ascii="Trebuchet MS" w:hAnsi="Trebuchet MS"/>
          <w:b/>
          <w:bCs/>
          <w:sz w:val="28"/>
          <w:szCs w:val="28"/>
        </w:rPr>
      </w:pPr>
    </w:p>
    <w:p w:rsidR="00D70C39" w:rsidRDefault="0015226B" w:rsidP="00D70C39">
      <w:pPr>
        <w:rPr>
          <w:rFonts w:ascii="Trebuchet MS" w:hAnsi="Trebuchet MS"/>
          <w:b/>
          <w:bCs/>
          <w:sz w:val="28"/>
          <w:szCs w:val="28"/>
        </w:rPr>
      </w:pPr>
      <w:r w:rsidRPr="0015226B">
        <w:rPr>
          <w:rFonts w:ascii="Trebuchet MS" w:hAnsi="Trebuchet MS"/>
          <w:b/>
          <w:bCs/>
          <w:sz w:val="28"/>
          <w:szCs w:val="28"/>
        </w:rPr>
        <w:t>Tirols Wirtschaft startet kräftig ins zweite Halbjahr 2021</w:t>
      </w:r>
      <w:r w:rsidR="009014F9">
        <w:rPr>
          <w:rFonts w:ascii="Trebuchet MS" w:hAnsi="Trebuchet MS"/>
          <w:b/>
          <w:bCs/>
          <w:sz w:val="28"/>
          <w:szCs w:val="28"/>
        </w:rPr>
        <w:br/>
      </w:r>
      <w:r w:rsidR="008B7120">
        <w:rPr>
          <w:rFonts w:ascii="Trebuchet MS" w:hAnsi="Trebuchet MS"/>
          <w:bCs/>
          <w:sz w:val="28"/>
          <w:szCs w:val="28"/>
        </w:rPr>
        <w:t>A</w:t>
      </w:r>
      <w:r w:rsidR="008E3C49">
        <w:rPr>
          <w:rFonts w:ascii="Trebuchet MS" w:hAnsi="Trebuchet MS"/>
          <w:bCs/>
          <w:sz w:val="28"/>
          <w:szCs w:val="28"/>
        </w:rPr>
        <w:t>ber</w:t>
      </w:r>
      <w:r w:rsidR="008B7120">
        <w:rPr>
          <w:rFonts w:ascii="Trebuchet MS" w:hAnsi="Trebuchet MS"/>
          <w:bCs/>
          <w:sz w:val="28"/>
          <w:szCs w:val="28"/>
        </w:rPr>
        <w:t xml:space="preserve">: </w:t>
      </w:r>
      <w:r w:rsidR="008B7120" w:rsidRPr="008B7120">
        <w:rPr>
          <w:rFonts w:ascii="Trebuchet MS" w:hAnsi="Trebuchet MS"/>
          <w:bCs/>
          <w:sz w:val="28"/>
          <w:szCs w:val="28"/>
        </w:rPr>
        <w:t>Rohstoffkosten und ein Wiederaufleben der Pandemie</w:t>
      </w:r>
      <w:r w:rsidR="008B7120">
        <w:rPr>
          <w:rFonts w:ascii="Trebuchet MS" w:hAnsi="Trebuchet MS"/>
          <w:bCs/>
          <w:sz w:val="28"/>
          <w:szCs w:val="28"/>
        </w:rPr>
        <w:br/>
        <w:t>bleiben</w:t>
      </w:r>
      <w:r w:rsidR="008B7120" w:rsidRPr="008B7120">
        <w:rPr>
          <w:rFonts w:ascii="Trebuchet MS" w:hAnsi="Trebuchet MS"/>
          <w:bCs/>
          <w:sz w:val="28"/>
          <w:szCs w:val="28"/>
        </w:rPr>
        <w:t xml:space="preserve"> Risiko für den Herbst</w:t>
      </w:r>
      <w:r w:rsidR="00B127BE">
        <w:rPr>
          <w:rFonts w:ascii="Trebuchet MS" w:hAnsi="Trebuchet MS"/>
          <w:bCs/>
          <w:sz w:val="28"/>
          <w:szCs w:val="28"/>
        </w:rPr>
        <w:t>!</w:t>
      </w:r>
    </w:p>
    <w:p w:rsidR="00426CF5" w:rsidRPr="00441B1D" w:rsidRDefault="00426CF5" w:rsidP="00D70C39"/>
    <w:p w:rsidR="0015226B" w:rsidRDefault="00441B1D" w:rsidP="00D70C39">
      <w:r w:rsidRPr="00441B1D">
        <w:t xml:space="preserve">Nach 15 Monaten Rezession </w:t>
      </w:r>
      <w:r>
        <w:t>geht ein starker Ruck durch die Tiroler Wirtschaf</w:t>
      </w:r>
      <w:r w:rsidR="00A76DDC">
        <w:t>t</w:t>
      </w:r>
      <w:r w:rsidR="00F624C1">
        <w:t>:</w:t>
      </w:r>
      <w:r>
        <w:t xml:space="preserve"> Der Geschäftsklimawert</w:t>
      </w:r>
      <w:r w:rsidR="00A86FBF">
        <w:t xml:space="preserve"> </w:t>
      </w:r>
      <w:r w:rsidR="00B54C53">
        <w:t xml:space="preserve">(=Mittelwert zwischen aktueller Lage und den Erwartungen für die kommenden sechs Monate) </w:t>
      </w:r>
      <w:r w:rsidR="00A86FBF">
        <w:t xml:space="preserve">steigt von -4 Prozentpunkten </w:t>
      </w:r>
      <w:r>
        <w:t>zum Jahreswechsel 2020/21 auf +44 Prozentpunkte und erreicht damit das Niveau von 2019.</w:t>
      </w:r>
    </w:p>
    <w:p w:rsidR="00523B0E" w:rsidRDefault="00523B0E" w:rsidP="00D70C39">
      <w:r>
        <w:t>Aktuell melden 50 % der befragten Tiroler Leitbetriebe eine gute wirtschaftliche Lage ihres Unternehmens; nur mehr 11 % berichten von einer schlechten Lage; 39 %</w:t>
      </w:r>
      <w:r w:rsidR="00A86FBF">
        <w:t xml:space="preserve"> sehen eine durchschnittliche wirtschaftliche </w:t>
      </w:r>
      <w:r w:rsidR="00A254F7">
        <w:t>Situation</w:t>
      </w:r>
      <w:r w:rsidR="00A86FBF">
        <w:t xml:space="preserve">. </w:t>
      </w:r>
      <w:r>
        <w:t>Zum Vergleich:</w:t>
      </w:r>
      <w:r w:rsidR="00A254F7">
        <w:t xml:space="preserve"> zum Jahreswechsel 202</w:t>
      </w:r>
      <w:r w:rsidR="004D1E79">
        <w:t>0/</w:t>
      </w:r>
      <w:r>
        <w:t xml:space="preserve">2021 meldeten </w:t>
      </w:r>
      <w:r w:rsidR="00A86FBF">
        <w:t xml:space="preserve">nur </w:t>
      </w:r>
      <w:r>
        <w:t>23 % der Betriebe</w:t>
      </w:r>
      <w:r w:rsidR="00B54C53">
        <w:t xml:space="preserve"> eine gute wirtschaftliche Lage; </w:t>
      </w:r>
      <w:r>
        <w:t xml:space="preserve">im Sommer </w:t>
      </w:r>
      <w:r w:rsidR="00A86FBF">
        <w:t>2020</w:t>
      </w:r>
      <w:r>
        <w:t xml:space="preserve"> </w:t>
      </w:r>
      <w:r w:rsidR="00A86FBF">
        <w:t>waren es 30</w:t>
      </w:r>
      <w:r>
        <w:t xml:space="preserve"> %.</w:t>
      </w:r>
    </w:p>
    <w:p w:rsidR="00B5493C" w:rsidRPr="00B5493C" w:rsidRDefault="00B5493C" w:rsidP="00D70C39">
      <w:pPr>
        <w:rPr>
          <w:i/>
        </w:rPr>
      </w:pPr>
      <w:r w:rsidRPr="00B5493C">
        <w:rPr>
          <w:i/>
        </w:rPr>
        <w:t>Aktuelle wirtschaftliche Lage der Unternehmen:</w:t>
      </w:r>
    </w:p>
    <w:p w:rsidR="003E6E0F" w:rsidRDefault="000D741E" w:rsidP="003E6E0F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724664" cy="2258573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wirtschaftl Lage aktuell_So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664" cy="225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0F" w:rsidRDefault="003E6E0F" w:rsidP="00D70C39"/>
    <w:p w:rsidR="00A254F7" w:rsidRPr="00A254F7" w:rsidRDefault="00A254F7" w:rsidP="00D70C39">
      <w:pPr>
        <w:rPr>
          <w:b/>
        </w:rPr>
      </w:pPr>
      <w:r w:rsidRPr="00A254F7">
        <w:rPr>
          <w:b/>
        </w:rPr>
        <w:t>Wirtschaftliche Lage im Produktionssektor weiterhin besser als im Dienstleistungssektor</w:t>
      </w:r>
      <w:r w:rsidR="00940CEE">
        <w:rPr>
          <w:b/>
        </w:rPr>
        <w:t>:</w:t>
      </w:r>
    </w:p>
    <w:p w:rsidR="0015226B" w:rsidRDefault="00A86FBF" w:rsidP="00D70C39">
      <w:r>
        <w:t xml:space="preserve">Nach wie vor gibt es aber </w:t>
      </w:r>
      <w:r w:rsidR="00370659">
        <w:t xml:space="preserve">deutliche Unterschiede zwischen dem </w:t>
      </w:r>
      <w:r w:rsidR="00F624C1">
        <w:t>P</w:t>
      </w:r>
      <w:r w:rsidR="00370659">
        <w:t>roduktionssektor und dem Dienstleistungsbereich. 61 %</w:t>
      </w:r>
      <w:r w:rsidR="00EA06CB">
        <w:t xml:space="preserve"> der Unternehmen im produzierenden Sektor sind mit ihrer wirtschaftlichen Lage zufrieden; im Dienstleistungssektor sind es hingegen nur 32 %. </w:t>
      </w:r>
      <w:r w:rsidR="00A254F7">
        <w:t xml:space="preserve">Im </w:t>
      </w:r>
      <w:r w:rsidR="00EA06CB">
        <w:t>Dienstleistungsbereich melde</w:t>
      </w:r>
      <w:r w:rsidR="00A254F7">
        <w:t>n</w:t>
      </w:r>
      <w:r w:rsidR="00EA06CB">
        <w:t xml:space="preserve"> rund ein Viertel der Unternehmen eine schlechte wirtschaftliche Lage. Besonders gut ist die wirtschaftliche Lage der Unternehmen in </w:t>
      </w:r>
      <w:r w:rsidR="00A76DDC">
        <w:t xml:space="preserve">der </w:t>
      </w:r>
      <w:r w:rsidR="00EA06CB">
        <w:t>Industrie (65 %) und im Gewerbe (63 %). In der Bauwirtschaft sind es 46 % der Unternehmen</w:t>
      </w:r>
      <w:r w:rsidR="00BE6F4C">
        <w:t>,</w:t>
      </w:r>
      <w:r w:rsidR="00EA06CB">
        <w:t xml:space="preserve"> die über eine gute wirtschaftliche Lage berichten. </w:t>
      </w:r>
    </w:p>
    <w:p w:rsidR="00EA06CB" w:rsidRDefault="00EA06CB" w:rsidP="00D70C39">
      <w:r>
        <w:t>Anders die Situation im Tiroler Handel: Hier berichten 26 % von einer guten wirtschaftlichen Lage ihres Unternehmens; jedes fünfte Unternehmen allerdings von einer schlechten Situation.</w:t>
      </w:r>
      <w:r w:rsidR="00AC721B">
        <w:t xml:space="preserve"> Ein gewisse</w:t>
      </w:r>
      <w:r w:rsidR="003947B2">
        <w:t>r</w:t>
      </w:r>
      <w:r w:rsidR="00AC721B">
        <w:t xml:space="preserve"> Ausreißer nach unten stellt </w:t>
      </w:r>
      <w:r w:rsidR="00BE6F4C">
        <w:t xml:space="preserve">der </w:t>
      </w:r>
      <w:r w:rsidR="00AC721B">
        <w:t xml:space="preserve">Verkehrssektor dar: Hier berichten 48 % von einer angespannten wirtschaftlichen Lage ihres Unternehmens. </w:t>
      </w:r>
      <w:r w:rsidR="003947B2">
        <w:t>Tendenziell</w:t>
      </w:r>
      <w:r w:rsidR="00AC721B">
        <w:t xml:space="preserve"> positiv die Situation im Tourismus: Hier sind 42 % mit der aktuellen Lage ihres Unternehmens zufrieden (21 % unzufrieden) und in der Sparte Information und Consulting </w:t>
      </w:r>
      <w:r w:rsidR="003947B2">
        <w:t xml:space="preserve">sind </w:t>
      </w:r>
      <w:r w:rsidR="00AC721B">
        <w:t>sogar rund zwei Drittel der Unternehmen</w:t>
      </w:r>
      <w:r w:rsidR="003947B2">
        <w:t xml:space="preserve"> zufrieden</w:t>
      </w:r>
      <w:r w:rsidR="00AC721B">
        <w:t xml:space="preserve"> (65 %).</w:t>
      </w:r>
    </w:p>
    <w:p w:rsidR="003947B2" w:rsidRDefault="003947B2" w:rsidP="00D70C39"/>
    <w:p w:rsidR="003947B2" w:rsidRPr="003947B2" w:rsidRDefault="003947B2" w:rsidP="00D70C39">
      <w:pPr>
        <w:rPr>
          <w:b/>
        </w:rPr>
      </w:pPr>
      <w:r w:rsidRPr="003947B2">
        <w:rPr>
          <w:b/>
        </w:rPr>
        <w:lastRenderedPageBreak/>
        <w:t>62 % melden eine gute Auftragslage/Buchungslage</w:t>
      </w:r>
      <w:r>
        <w:rPr>
          <w:b/>
        </w:rPr>
        <w:t xml:space="preserve"> - </w:t>
      </w:r>
      <w:r>
        <w:rPr>
          <w:b/>
        </w:rPr>
        <w:br/>
        <w:t>besonders die Tiroler Industrie hat volle Auftragsbücher</w:t>
      </w:r>
      <w:r w:rsidR="00940CEE">
        <w:rPr>
          <w:b/>
        </w:rPr>
        <w:t>:</w:t>
      </w:r>
    </w:p>
    <w:p w:rsidR="00AC721B" w:rsidRDefault="00F624C1" w:rsidP="00D70C39">
      <w:r>
        <w:t>„</w:t>
      </w:r>
      <w:r w:rsidR="00AC721B">
        <w:t>Hand in Hand</w:t>
      </w:r>
      <w:r w:rsidR="00B30420">
        <w:t>“</w:t>
      </w:r>
      <w:r w:rsidR="00BE6F4C">
        <w:t xml:space="preserve"> </w:t>
      </w:r>
      <w:r w:rsidR="00AC721B">
        <w:t>mit der überwiegend guten wirtschaftlichen Lage der Unternehmen sind auch die Daten zur aktuellen Auftrags und Buchungslage: 62 % der befragten Leitbetriebe berichten von einer guten Auftragslage/Buchungslage. Besonders positiv auch hier die Tiroler Industrie: 75 % berichten von gut gefüllten Auftragsbüchern; kein Unternehmen meldet eine schlechte Auftragslage. Auch in der Bauwirtschaft meldet kein Unternehmen eine schlechte Auftragslage (63 % eine gute Auftragssituation). Auch hier stellt sich</w:t>
      </w:r>
      <w:r>
        <w:t xml:space="preserve"> der Verkehrssektor als Achilles-Ferse dar: 42 % sind mit der Auftragssituation ihres Unternehmens nicht zufrieden; nur 31 % melden eine gute Auftragslage.</w:t>
      </w:r>
      <w:r w:rsidR="009A5E1D">
        <w:t xml:space="preserve"> Durchaus zufriedenstellend auch die Buchungslage im Tiroler Tourismus: 47 % melden eine gute Buchungssituation; 24 % eine schlechte Buchungslage zu Beginn der Sommersaison.</w:t>
      </w:r>
    </w:p>
    <w:p w:rsidR="003E6E0F" w:rsidRPr="00B5493C" w:rsidRDefault="00B5493C" w:rsidP="00D70C39">
      <w:pPr>
        <w:rPr>
          <w:i/>
        </w:rPr>
      </w:pPr>
      <w:r w:rsidRPr="00B5493C">
        <w:rPr>
          <w:i/>
        </w:rPr>
        <w:t>Aktuelle Auftrags-/Buchungslage der Unternehmen</w:t>
      </w:r>
      <w:r>
        <w:rPr>
          <w:i/>
        </w:rPr>
        <w:t>:</w:t>
      </w:r>
    </w:p>
    <w:p w:rsidR="003E6E0F" w:rsidRDefault="00007C6A" w:rsidP="003E6E0F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688088" cy="2316485"/>
            <wp:effectExtent l="0" t="0" r="762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Auftragslage akt So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8" cy="231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1D" w:rsidRDefault="009A5E1D" w:rsidP="00D70C39"/>
    <w:p w:rsidR="009A5E1D" w:rsidRDefault="009A5E1D" w:rsidP="00D70C39">
      <w:r>
        <w:t>Besonders wichtig ist</w:t>
      </w:r>
      <w:r w:rsidR="00B5493C">
        <w:t xml:space="preserve">, </w:t>
      </w:r>
      <w:r>
        <w:t>das</w:t>
      </w:r>
      <w:r w:rsidR="00B5493C">
        <w:t>s</w:t>
      </w:r>
      <w:r>
        <w:t xml:space="preserve"> die Erwartungen für die kommenden Monate grundsätzlich positiv sind: 56 % der Unternehmen gehen davon aus</w:t>
      </w:r>
      <w:r w:rsidR="008249C6">
        <w:t>,</w:t>
      </w:r>
      <w:r>
        <w:t xml:space="preserve"> dass die wirtschaftliche Lage ihres Unternehmens bis zum </w:t>
      </w:r>
      <w:r w:rsidR="000966FF">
        <w:t>Jahresende</w:t>
      </w:r>
      <w:r>
        <w:t xml:space="preserve"> 2021 weiterhin gut bleibt; nur 7 % erwarten eine Verschlechterung; 37 % eine gleichbleibende wirtschaftliche Lage.</w:t>
      </w:r>
      <w:r w:rsidR="00B5493C">
        <w:t xml:space="preserve"> Das ist ein Hinweis auf einen anhaltenden Aufschwung.</w:t>
      </w:r>
      <w:r>
        <w:t xml:space="preserve"> Auch hier </w:t>
      </w:r>
      <w:r w:rsidR="00150C99">
        <w:t>sticht der P</w:t>
      </w:r>
      <w:r>
        <w:t>roduktionssektor hervor</w:t>
      </w:r>
      <w:r w:rsidR="00B5493C">
        <w:t>. So gehen</w:t>
      </w:r>
      <w:r>
        <w:t xml:space="preserve"> 70 % der Industriebetriebe davon aus</w:t>
      </w:r>
      <w:r w:rsidR="005A7853">
        <w:t>,</w:t>
      </w:r>
      <w:r>
        <w:t xml:space="preserve"> dass die wirtschaftliche Lage ihres Unternehmens auch im Herbst gut sein wird; kein</w:t>
      </w:r>
      <w:r w:rsidR="00B5493C">
        <w:t>es der befragten</w:t>
      </w:r>
      <w:r>
        <w:t xml:space="preserve"> Unternehmen rechnet mit einer schlechten wirtschaftlichen Lage; im Gewerbe sind 62 % optimistisch. Etwas gebremst die Situation in der Bauwirtschaft: Hier </w:t>
      </w:r>
      <w:r w:rsidR="00595FF8">
        <w:t>gehen</w:t>
      </w:r>
      <w:r w:rsidR="005A7853">
        <w:t xml:space="preserve"> </w:t>
      </w:r>
      <w:r w:rsidR="00595FF8">
        <w:t xml:space="preserve">fast zwei Drittel (63 %) von einer durchschnittlichen Lage </w:t>
      </w:r>
      <w:r w:rsidR="000966FF">
        <w:t xml:space="preserve">bis zum Jahresende </w:t>
      </w:r>
      <w:r w:rsidR="00595FF8">
        <w:t>aus. Hier dürften die stark steigenden Baustoffkosten</w:t>
      </w:r>
      <w:r w:rsidR="005A7853">
        <w:t xml:space="preserve"> eine wesentliche Rolle spielen!</w:t>
      </w:r>
    </w:p>
    <w:p w:rsidR="005A7853" w:rsidRDefault="005A7853" w:rsidP="00D70C39"/>
    <w:p w:rsidR="005A7853" w:rsidRDefault="005A7853">
      <w:pPr>
        <w:rPr>
          <w:i/>
        </w:rPr>
      </w:pPr>
      <w:r>
        <w:rPr>
          <w:i/>
        </w:rPr>
        <w:br w:type="page"/>
      </w:r>
    </w:p>
    <w:p w:rsidR="005A7853" w:rsidRPr="00B5493C" w:rsidRDefault="005A7853" w:rsidP="005A7853">
      <w:pPr>
        <w:rPr>
          <w:i/>
        </w:rPr>
      </w:pPr>
      <w:r>
        <w:rPr>
          <w:i/>
        </w:rPr>
        <w:lastRenderedPageBreak/>
        <w:t>Erwartete</w:t>
      </w:r>
      <w:r w:rsidRPr="00B5493C">
        <w:rPr>
          <w:i/>
        </w:rPr>
        <w:t xml:space="preserve"> wirtschaftliche Lage der Unternehmen</w:t>
      </w:r>
      <w:r>
        <w:rPr>
          <w:i/>
        </w:rPr>
        <w:t xml:space="preserve"> bis </w:t>
      </w:r>
      <w:r w:rsidR="000966FF">
        <w:rPr>
          <w:i/>
        </w:rPr>
        <w:t>Jahresende</w:t>
      </w:r>
      <w:r>
        <w:rPr>
          <w:i/>
        </w:rPr>
        <w:t xml:space="preserve"> 2021</w:t>
      </w:r>
      <w:r w:rsidRPr="00B5493C">
        <w:rPr>
          <w:i/>
        </w:rPr>
        <w:t>:</w:t>
      </w:r>
    </w:p>
    <w:p w:rsidR="005A7853" w:rsidRDefault="005A7853" w:rsidP="00D70C39"/>
    <w:p w:rsidR="00595FF8" w:rsidRDefault="00007C6A" w:rsidP="003E6E0F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825248" cy="2343917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rtschaftl Lage erw_So2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8" cy="234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853" w:rsidRDefault="005A7853" w:rsidP="00D70C39"/>
    <w:p w:rsidR="005A7853" w:rsidRPr="005A7853" w:rsidRDefault="005A7853" w:rsidP="00D70C39">
      <w:pPr>
        <w:rPr>
          <w:b/>
        </w:rPr>
      </w:pPr>
      <w:r w:rsidRPr="005A7853">
        <w:rPr>
          <w:b/>
        </w:rPr>
        <w:t>Die Roherträge könne</w:t>
      </w:r>
      <w:r w:rsidR="00490302">
        <w:rPr>
          <w:b/>
        </w:rPr>
        <w:t>n</w:t>
      </w:r>
      <w:r w:rsidRPr="005A7853">
        <w:rPr>
          <w:b/>
        </w:rPr>
        <w:t xml:space="preserve"> mit </w:t>
      </w:r>
      <w:r w:rsidR="00490302">
        <w:rPr>
          <w:b/>
        </w:rPr>
        <w:t xml:space="preserve">der </w:t>
      </w:r>
      <w:r w:rsidRPr="005A7853">
        <w:rPr>
          <w:b/>
        </w:rPr>
        <w:t>Auftragslage nicht mithalten</w:t>
      </w:r>
    </w:p>
    <w:p w:rsidR="00F624C1" w:rsidRDefault="008249C6" w:rsidP="00D70C39">
      <w:r>
        <w:t>So</w:t>
      </w:r>
      <w:r w:rsidR="00595FF8">
        <w:t xml:space="preserve"> gut die wirtschaftliche Lage als auch die Auftragssituation ist; in vielen Bereichen können die Roherträge nicht mithalten. </w:t>
      </w:r>
      <w:r w:rsidR="00F073A8">
        <w:t>So</w:t>
      </w:r>
      <w:r w:rsidR="00595FF8">
        <w:t xml:space="preserve"> berichten 42 % der Handelsbetriebe und 61 % der Verkehrsunternehmen von einer durchaus angespannten Situation bei den Roherträge</w:t>
      </w:r>
      <w:r w:rsidR="00AE2B42">
        <w:t>n.</w:t>
      </w:r>
      <w:r w:rsidR="00595FF8">
        <w:t xml:space="preserve"> </w:t>
      </w:r>
      <w:r w:rsidR="00AE2B42">
        <w:t>I</w:t>
      </w:r>
      <w:r w:rsidR="00595FF8">
        <w:t>m Durchschnitt aller Branchen berichten 50 %</w:t>
      </w:r>
      <w:r w:rsidR="00150C99">
        <w:t xml:space="preserve"> der Unternehmen von einer durchschnittlichen Rohertragslage; 30 % von einer zufriedenstellenden Situation und 20 % von einer angespannten </w:t>
      </w:r>
      <w:r>
        <w:t>Rohertragslage</w:t>
      </w:r>
      <w:r w:rsidR="00150C99">
        <w:t>.</w:t>
      </w:r>
    </w:p>
    <w:p w:rsidR="00AE2B42" w:rsidRPr="00AE2B42" w:rsidRDefault="00AE2B42" w:rsidP="00D70C39">
      <w:pPr>
        <w:rPr>
          <w:b/>
        </w:rPr>
      </w:pPr>
      <w:r w:rsidRPr="00AE2B42">
        <w:rPr>
          <w:b/>
        </w:rPr>
        <w:t>Hohe Auslastung der betrieblichen Kapazitäten</w:t>
      </w:r>
    </w:p>
    <w:p w:rsidR="00F624C1" w:rsidRDefault="006D44D1" w:rsidP="00D70C39">
      <w:r>
        <w:t>Deutlich zugelegt im Vergleich zum Jahresanfang hat die Kapazitätsauslastung der Unternehmen: 58 % geben an</w:t>
      </w:r>
      <w:r w:rsidR="00F073A8">
        <w:t>,</w:t>
      </w:r>
      <w:r>
        <w:t xml:space="preserve"> dass ihre betrieblichen Kapazitäten (</w:t>
      </w:r>
      <w:r w:rsidR="0065386F">
        <w:t xml:space="preserve">Auslastung der </w:t>
      </w:r>
      <w:proofErr w:type="spellStart"/>
      <w:r w:rsidR="0065386F">
        <w:t>Mitarbeiter</w:t>
      </w:r>
      <w:r w:rsidR="00AE2B42">
        <w:t>I</w:t>
      </w:r>
      <w:r w:rsidR="0065386F">
        <w:t>nnen</w:t>
      </w:r>
      <w:proofErr w:type="spellEnd"/>
      <w:r w:rsidR="00AE2B42">
        <w:t>,</w:t>
      </w:r>
      <w:r w:rsidR="0065386F">
        <w:t xml:space="preserve"> Maschinen, Fahrzeugbau etc.) derzeit ausreichend ausgelastet sind; nur 16 % melden eine zu geringe </w:t>
      </w:r>
      <w:r w:rsidR="00AE2B42">
        <w:t>Auslastung. Zu</w:t>
      </w:r>
      <w:r w:rsidR="0065386F">
        <w:t xml:space="preserve"> Jahresbeginn meldeten hingegen nur 30 % der Unternehmen eine ausreichende Auslastung der Kapazitäten; </w:t>
      </w:r>
      <w:r w:rsidR="0066684B">
        <w:t>51</w:t>
      </w:r>
      <w:r w:rsidR="0065386F">
        <w:t xml:space="preserve"> % berichteten </w:t>
      </w:r>
      <w:r w:rsidR="00AE2B42">
        <w:t xml:space="preserve">hingegen </w:t>
      </w:r>
      <w:r w:rsidR="0065386F">
        <w:t xml:space="preserve">von einer zu geringen Auslastung. </w:t>
      </w:r>
    </w:p>
    <w:p w:rsidR="00F073A8" w:rsidRDefault="00F073A8" w:rsidP="00D70C39">
      <w:r>
        <w:t>Nur i</w:t>
      </w:r>
      <w:r w:rsidR="00490302">
        <w:t>m</w:t>
      </w:r>
      <w:r>
        <w:t xml:space="preserve"> Verkehrssektor melden fast zwei Drittel der Unternehmen (64 %) eine Unterauslastung der Kapazitäten. In allen anderen Branchen ist der Saldo positiv. Besonders deutlich in der Bauwirtschaft: </w:t>
      </w:r>
      <w:r w:rsidR="00AE2B42">
        <w:t>H</w:t>
      </w:r>
      <w:r>
        <w:t>ier sind fast drei Viertel der Unternehmen ausreichend ausgelastet; nur 9 % der Unternehmen melden eine zu geringe Auslastung.</w:t>
      </w:r>
    </w:p>
    <w:p w:rsidR="00AE2B42" w:rsidRDefault="00AE2B42" w:rsidP="00D70C39"/>
    <w:p w:rsidR="001C11DA" w:rsidRDefault="001C11DA">
      <w:pPr>
        <w:rPr>
          <w:i/>
        </w:rPr>
      </w:pPr>
      <w:r>
        <w:rPr>
          <w:i/>
        </w:rPr>
        <w:br w:type="page"/>
      </w:r>
    </w:p>
    <w:p w:rsidR="00AE2B42" w:rsidRPr="00AE2B42" w:rsidRDefault="00AE2B42" w:rsidP="00D70C39">
      <w:pPr>
        <w:rPr>
          <w:i/>
        </w:rPr>
      </w:pPr>
      <w:r w:rsidRPr="00AE2B42">
        <w:rPr>
          <w:i/>
        </w:rPr>
        <w:lastRenderedPageBreak/>
        <w:t>Aktuelle Auslastung der betrieblichen Kapazitäten:</w:t>
      </w:r>
    </w:p>
    <w:p w:rsidR="004269FB" w:rsidRDefault="004269FB" w:rsidP="004269FB">
      <w:pPr>
        <w:jc w:val="center"/>
      </w:pPr>
    </w:p>
    <w:p w:rsidR="004269FB" w:rsidRDefault="00007C6A" w:rsidP="004269FB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843536" cy="2307341"/>
            <wp:effectExtent l="0" t="0" r="508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pazitäten So2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536" cy="230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105" w:rsidRDefault="00603105" w:rsidP="004269FB">
      <w:pPr>
        <w:jc w:val="center"/>
      </w:pPr>
    </w:p>
    <w:p w:rsidR="00603105" w:rsidRDefault="0045561A" w:rsidP="004269FB">
      <w:pPr>
        <w:jc w:val="center"/>
      </w:pPr>
      <w:r>
        <w:rPr>
          <w:noProof/>
          <w:lang w:eastAsia="de-AT"/>
        </w:rPr>
        <w:drawing>
          <wp:inline distT="0" distB="0" distL="0" distR="0">
            <wp:extent cx="5760720" cy="2999105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Anlagen Auslastu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B42" w:rsidRDefault="00AE2B42" w:rsidP="00D70C39"/>
    <w:p w:rsidR="00CB6FA9" w:rsidRPr="00CB6FA9" w:rsidRDefault="00CB6FA9" w:rsidP="00D70C39">
      <w:pPr>
        <w:rPr>
          <w:b/>
        </w:rPr>
      </w:pPr>
      <w:r w:rsidRPr="00CB6FA9">
        <w:rPr>
          <w:b/>
        </w:rPr>
        <w:t xml:space="preserve">Investitionen ziehen </w:t>
      </w:r>
      <w:r>
        <w:rPr>
          <w:b/>
        </w:rPr>
        <w:t xml:space="preserve">vor allem im Produktionssektor </w:t>
      </w:r>
      <w:r w:rsidRPr="00CB6FA9">
        <w:rPr>
          <w:b/>
        </w:rPr>
        <w:t>kräftig an</w:t>
      </w:r>
      <w:r w:rsidR="00940CEE">
        <w:rPr>
          <w:b/>
        </w:rPr>
        <w:t>:</w:t>
      </w:r>
    </w:p>
    <w:p w:rsidR="00F073A8" w:rsidRDefault="00F073A8" w:rsidP="00D70C39">
      <w:r>
        <w:t>Korrespondierend mit der zunehmenden/hohen Kapazitätsauslastung steigt auch die Investitionsneigung der Unternehmen stark an:</w:t>
      </w:r>
      <w:r w:rsidR="00CB6FA9">
        <w:t xml:space="preserve"> N</w:t>
      </w:r>
      <w:r>
        <w:t>och zu Jahresbeginn gaben nur 20 %</w:t>
      </w:r>
      <w:r w:rsidR="00F63039">
        <w:t xml:space="preserve"> der befragten Leitbetriebe an</w:t>
      </w:r>
      <w:r w:rsidR="00CB6FA9">
        <w:t>,</w:t>
      </w:r>
      <w:r w:rsidR="00F63039">
        <w:t xml:space="preserve"> in den kommenden sechs Monaten mehr zu investieren als zuletzt: </w:t>
      </w:r>
      <w:r w:rsidR="00CB6FA9">
        <w:t>A</w:t>
      </w:r>
      <w:r w:rsidR="00F63039">
        <w:t>ktuell sind es 34 %</w:t>
      </w:r>
      <w:r w:rsidR="00C72CF0">
        <w:t>; 17 % planen ihr Investitionsniveau zu reduzieren.</w:t>
      </w:r>
      <w:r w:rsidR="00DA1888">
        <w:t xml:space="preserve"> Damit ist die Investitionsneigung erstmals seit Sommer 2019 (!) wieder deutlich im positiven Bereich.</w:t>
      </w:r>
      <w:r w:rsidR="00F63039">
        <w:t xml:space="preserve"> Zwiespältig stellt sich bei den Investitionen allerdings </w:t>
      </w:r>
      <w:r w:rsidR="00CB6FA9">
        <w:t>die</w:t>
      </w:r>
      <w:r w:rsidR="00F63039">
        <w:t xml:space="preserve"> Lage im Dienstleistungsbereich dar: 34 % der Dienstleistungsunternehmen wollen in den kommenden sechs Monaten mehr investieren; </w:t>
      </w:r>
      <w:r w:rsidR="00CB6FA9">
        <w:t xml:space="preserve">aber </w:t>
      </w:r>
      <w:r w:rsidR="00F63039">
        <w:t>32 % weniger. Dies zeigt sich auch besonders deutlich im Tourismus: 38 % werden</w:t>
      </w:r>
      <w:r w:rsidR="0066684B">
        <w:t xml:space="preserve"> ihr Investitionsniveau heben; 3</w:t>
      </w:r>
      <w:r w:rsidR="00F63039">
        <w:t xml:space="preserve">6 % senken. Deutlich positiv ist der Saldo im produzierenden Sektor: auch hier werden 34 % der Unternehmen mehr investieren als zuletzt; allerdings nur 7 % weniger. In </w:t>
      </w:r>
      <w:r w:rsidR="00211E97">
        <w:t xml:space="preserve">der </w:t>
      </w:r>
      <w:r w:rsidR="00F63039">
        <w:t>Industrie sind es gar 38 %</w:t>
      </w:r>
      <w:r w:rsidR="00211E97">
        <w:t>,</w:t>
      </w:r>
      <w:r w:rsidR="00F63039">
        <w:t xml:space="preserve"> die mehr investieren werden und nur 2 % </w:t>
      </w:r>
      <w:r w:rsidR="00F5529D">
        <w:t>stehen auf der</w:t>
      </w:r>
      <w:r w:rsidR="00F63039">
        <w:t xml:space="preserve"> Investitionsbremse.</w:t>
      </w:r>
      <w:r w:rsidR="00C72CF0">
        <w:t xml:space="preserve"> Positives Feedback gibt es zur Investitionsprämie. Sie hat </w:t>
      </w:r>
      <w:r w:rsidR="00C72CF0">
        <w:lastRenderedPageBreak/>
        <w:t>wesentlich bei dazu beigetragen</w:t>
      </w:r>
      <w:r w:rsidR="00261CB9">
        <w:t>,</w:t>
      </w:r>
      <w:r w:rsidR="00C72CF0">
        <w:t xml:space="preserve"> das Investitionsniveau zu stabilisieren bzw. sogar zu heben und damit den Konjunktureinbruch der vergangenen Monate</w:t>
      </w:r>
      <w:r w:rsidR="00261CB9">
        <w:t xml:space="preserve"> so gut wie möglich</w:t>
      </w:r>
      <w:r w:rsidR="00C72CF0">
        <w:t xml:space="preserve"> abzufedern. </w:t>
      </w:r>
    </w:p>
    <w:p w:rsidR="004269FB" w:rsidRPr="00F5529D" w:rsidRDefault="00F5529D" w:rsidP="00D70C39">
      <w:pPr>
        <w:rPr>
          <w:i/>
        </w:rPr>
      </w:pPr>
      <w:r w:rsidRPr="00F5529D">
        <w:rPr>
          <w:i/>
        </w:rPr>
        <w:t xml:space="preserve">Aktuelle Investitionsneigung bei den Tiroler </w:t>
      </w:r>
      <w:r>
        <w:rPr>
          <w:i/>
        </w:rPr>
        <w:t>Leitbetrieben</w:t>
      </w:r>
    </w:p>
    <w:p w:rsidR="004269FB" w:rsidRDefault="008A2D7F" w:rsidP="004269FB">
      <w:pPr>
        <w:jc w:val="center"/>
      </w:pPr>
      <w:r>
        <w:rPr>
          <w:noProof/>
          <w:lang w:eastAsia="de-AT"/>
        </w:rPr>
        <w:drawing>
          <wp:inline distT="0" distB="0" distL="0" distR="0">
            <wp:extent cx="3770384" cy="2225045"/>
            <wp:effectExtent l="0" t="0" r="1905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vestitionen So2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84" cy="22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FB" w:rsidRDefault="004269FB" w:rsidP="00D70C39"/>
    <w:p w:rsidR="00603105" w:rsidRDefault="00535EBE" w:rsidP="00603105">
      <w:pPr>
        <w:jc w:val="center"/>
      </w:pPr>
      <w:r>
        <w:rPr>
          <w:noProof/>
          <w:lang w:eastAsia="de-AT"/>
        </w:rPr>
        <w:drawing>
          <wp:inline distT="0" distB="0" distL="0" distR="0">
            <wp:extent cx="4925335" cy="2733040"/>
            <wp:effectExtent l="0" t="0" r="889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nvestitionen 6M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670" cy="27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9D" w:rsidRDefault="00F5529D" w:rsidP="00D70C39">
      <w:pPr>
        <w:rPr>
          <w:b/>
        </w:rPr>
      </w:pPr>
    </w:p>
    <w:p w:rsidR="00603105" w:rsidRPr="00F5529D" w:rsidRDefault="00F5529D" w:rsidP="00D70C39">
      <w:pPr>
        <w:rPr>
          <w:b/>
        </w:rPr>
      </w:pPr>
      <w:r w:rsidRPr="00F5529D">
        <w:rPr>
          <w:b/>
        </w:rPr>
        <w:t>Positive Kehrtwende auch am Arbeitsmarkt:</w:t>
      </w:r>
    </w:p>
    <w:p w:rsidR="00DA1888" w:rsidRDefault="00DA1888" w:rsidP="00D70C39">
      <w:r>
        <w:t xml:space="preserve">Eine gute Auftragslage, eine hohe Auslastung der Kapazitäten </w:t>
      </w:r>
      <w:r w:rsidR="004321F8">
        <w:t xml:space="preserve">und </w:t>
      </w:r>
      <w:r>
        <w:t xml:space="preserve">zunehmende Investitionen </w:t>
      </w:r>
      <w:r w:rsidR="004321F8">
        <w:t>wirken</w:t>
      </w:r>
      <w:r>
        <w:t xml:space="preserve"> sich positiv auf die Entwicklung</w:t>
      </w:r>
      <w:r w:rsidR="000966FF">
        <w:t xml:space="preserve"> der Beschäftigung </w:t>
      </w:r>
      <w:r>
        <w:t>aus: 28 % der Leitbetriebe werden in den kommenden Monaten bis zum Herbst 2021 ihren Personalstand erhöhen; nur 7 % planen ihren Personalstand zu reduzieren</w:t>
      </w:r>
      <w:r w:rsidR="004321F8">
        <w:t xml:space="preserve">; </w:t>
      </w:r>
      <w:r w:rsidR="003955A4">
        <w:t>rund zwei Drittel der Betriebe planen keine Veränderungen in ihre</w:t>
      </w:r>
      <w:r w:rsidR="00071C1F">
        <w:t>m</w:t>
      </w:r>
      <w:r w:rsidR="003955A4">
        <w:t xml:space="preserve"> Personalstand.</w:t>
      </w:r>
      <w:r w:rsidR="00463588">
        <w:t xml:space="preserve"> Besonders deutlich ist hier die Erwartungshaltung im Tourismus: </w:t>
      </w:r>
      <w:r w:rsidR="003955A4">
        <w:t>Fast jedes zweite Unternehmen wird in den kommenden Monaten seine</w:t>
      </w:r>
      <w:r w:rsidR="000966FF">
        <w:t>n</w:t>
      </w:r>
      <w:r w:rsidR="003955A4">
        <w:t xml:space="preserve"> Mitarbeiterstand (weiter) erhöhen. Ähnlich die Situation in der Sparte Information und Consulting. Aber auch im Tiroler Gewerbe und in</w:t>
      </w:r>
      <w:r w:rsidR="00AA075B">
        <w:t xml:space="preserve"> der</w:t>
      </w:r>
      <w:r w:rsidR="003955A4">
        <w:t xml:space="preserve"> Industrie gibt es eine deutliche Tendenz den Mitarbeiterstand aufzustocken: 36% der befragten Gewerbeunternehmen und 31 % der Industrieunternehmen </w:t>
      </w:r>
      <w:r w:rsidR="00071C1F">
        <w:t>werden in den kommenden Monaten zusätzliche Mitarbeiterinnen und Mitarbeiter beschäftigen.</w:t>
      </w:r>
    </w:p>
    <w:p w:rsidR="00AE3592" w:rsidRDefault="00AE3592" w:rsidP="00D70C39"/>
    <w:p w:rsidR="00517F0D" w:rsidRPr="00517F0D" w:rsidRDefault="00517F0D" w:rsidP="00D70C39">
      <w:pPr>
        <w:rPr>
          <w:b/>
        </w:rPr>
      </w:pPr>
      <w:r w:rsidRPr="00517F0D">
        <w:rPr>
          <w:b/>
        </w:rPr>
        <w:lastRenderedPageBreak/>
        <w:t xml:space="preserve">Optimistischer </w:t>
      </w:r>
      <w:r w:rsidR="00AE3592" w:rsidRPr="00517F0D">
        <w:rPr>
          <w:b/>
        </w:rPr>
        <w:t>Ausblick für das zweite Halbjahr 2021</w:t>
      </w:r>
      <w:r w:rsidR="00FA1D66" w:rsidRPr="00517F0D">
        <w:rPr>
          <w:b/>
        </w:rPr>
        <w:t>:</w:t>
      </w:r>
    </w:p>
    <w:p w:rsidR="00AE3592" w:rsidRDefault="00517F0D" w:rsidP="00D70C39">
      <w:r>
        <w:t>I</w:t>
      </w:r>
      <w:r w:rsidR="00836F11">
        <w:t xml:space="preserve">nsgesamt erwarten die Tiroler Leitbetriebe eine positive wirtschaftliche Entwicklung </w:t>
      </w:r>
      <w:r w:rsidR="00321590">
        <w:t xml:space="preserve">Tirols </w:t>
      </w:r>
      <w:r w:rsidR="00836F11">
        <w:t>im zweiten Halbjahr: 56 % sind optimistisch; 41 % neutral und nur 3 % pessimistisch. Völlig anders hat sich noch die Situation am Jahresbeginn dargestellt: damals waren nur 11 % (!) optimistisch und 39 % pessimistisch.</w:t>
      </w:r>
    </w:p>
    <w:p w:rsidR="00914A30" w:rsidRDefault="00914A30" w:rsidP="00D70C39"/>
    <w:p w:rsidR="00876B82" w:rsidRPr="00914A30" w:rsidRDefault="00914A30" w:rsidP="00D70C39">
      <w:pPr>
        <w:rPr>
          <w:i/>
        </w:rPr>
      </w:pPr>
      <w:r w:rsidRPr="00914A30">
        <w:rPr>
          <w:i/>
        </w:rPr>
        <w:t>Erwartete Wirtschaftsentwicklung in Tirol in den kommenden 6 Monaten:</w:t>
      </w:r>
    </w:p>
    <w:p w:rsidR="00876B82" w:rsidRDefault="00826B35" w:rsidP="00D70C39">
      <w:r>
        <w:rPr>
          <w:noProof/>
          <w:lang w:eastAsia="de-AT"/>
        </w:rPr>
        <w:drawing>
          <wp:inline distT="0" distB="0" distL="0" distR="0">
            <wp:extent cx="4032512" cy="2746254"/>
            <wp:effectExtent l="0" t="0" r="635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rtschentw2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12" cy="274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039" w:rsidRDefault="00930FE2" w:rsidP="00D70C39">
      <w:r>
        <w:t>Besonders positiv</w:t>
      </w:r>
      <w:r w:rsidR="00AA075B">
        <w:t>e</w:t>
      </w:r>
      <w:r>
        <w:t xml:space="preserve"> Erwartungen für das zweite Halbjahr</w:t>
      </w:r>
      <w:r w:rsidR="00914A30">
        <w:t xml:space="preserve"> für Tirol</w:t>
      </w:r>
      <w:r>
        <w:t xml:space="preserve"> hat der Handel: Hier gehen 72 % davon aus</w:t>
      </w:r>
      <w:r w:rsidR="00914A30">
        <w:t xml:space="preserve">, </w:t>
      </w:r>
      <w:r>
        <w:t>dass sich die wirtschaftliche Entwicklung in Tirols weiter verbessert</w:t>
      </w:r>
      <w:r w:rsidR="00AA075B">
        <w:t>,</w:t>
      </w:r>
      <w:r>
        <w:t xml:space="preserve"> aber auch im Gewerbe (64 %) </w:t>
      </w:r>
      <w:r w:rsidR="00AA075B">
        <w:t xml:space="preserve">und in der </w:t>
      </w:r>
      <w:r>
        <w:t>Industrie (57 %) gibt es überdurchschnittlich viel</w:t>
      </w:r>
      <w:r w:rsidR="00AA075B">
        <w:t>e</w:t>
      </w:r>
      <w:r>
        <w:t xml:space="preserve"> Optimisten.</w:t>
      </w:r>
    </w:p>
    <w:p w:rsidR="00914A30" w:rsidRDefault="00914A30" w:rsidP="00D70C39">
      <w:pPr>
        <w:rPr>
          <w:b/>
        </w:rPr>
      </w:pPr>
    </w:p>
    <w:p w:rsidR="00914A30" w:rsidRPr="00914A30" w:rsidRDefault="00914A30" w:rsidP="00D70C39">
      <w:pPr>
        <w:rPr>
          <w:b/>
        </w:rPr>
      </w:pPr>
      <w:r w:rsidRPr="00914A30">
        <w:rPr>
          <w:b/>
        </w:rPr>
        <w:t>Rohstoffkosten und unsicherer Pandemieverlauf als Risikofaktoren</w:t>
      </w:r>
      <w:r w:rsidR="00261CB9">
        <w:rPr>
          <w:b/>
        </w:rPr>
        <w:t>:</w:t>
      </w:r>
    </w:p>
    <w:p w:rsidR="00F63039" w:rsidRDefault="00930FE2" w:rsidP="00D70C39">
      <w:r>
        <w:t>Das größte Damoklesschwert für die weitere Entwicklung ist</w:t>
      </w:r>
      <w:r w:rsidR="00AA075B">
        <w:t xml:space="preserve"> </w:t>
      </w:r>
      <w:r>
        <w:t>-</w:t>
      </w:r>
      <w:r w:rsidR="00AA075B">
        <w:t xml:space="preserve"> </w:t>
      </w:r>
      <w:r w:rsidR="00914A30">
        <w:t>neben</w:t>
      </w:r>
      <w:r w:rsidR="008B7120">
        <w:t xml:space="preserve"> einem W</w:t>
      </w:r>
      <w:r>
        <w:t>iederaufleben der Pandemie</w:t>
      </w:r>
      <w:r w:rsidR="00AA075B">
        <w:t xml:space="preserve"> </w:t>
      </w:r>
      <w:r>
        <w:t>-</w:t>
      </w:r>
      <w:r w:rsidR="00AA075B">
        <w:t xml:space="preserve"> </w:t>
      </w:r>
      <w:r>
        <w:t xml:space="preserve">die </w:t>
      </w:r>
      <w:r w:rsidR="00914A30">
        <w:t>preis</w:t>
      </w:r>
      <w:r>
        <w:t xml:space="preserve">dynamische Entwicklung </w:t>
      </w:r>
      <w:r w:rsidR="008B7120">
        <w:t>an</w:t>
      </w:r>
      <w:r>
        <w:t xml:space="preserve"> den Rohstoffmärkten. Die stark steigenden </w:t>
      </w:r>
      <w:r w:rsidR="000116AB">
        <w:t>Preise bei den Baustoff</w:t>
      </w:r>
      <w:r w:rsidR="008B7120">
        <w:t>en</w:t>
      </w:r>
      <w:r w:rsidR="000116AB">
        <w:t xml:space="preserve"> und Industrierohstoffen</w:t>
      </w:r>
      <w:r w:rsidR="00914A30">
        <w:t xml:space="preserve"> schlagen</w:t>
      </w:r>
      <w:r w:rsidR="000116AB">
        <w:t xml:space="preserve"> sich bereits auf die Ertragslage der Unternehmen nieder.</w:t>
      </w:r>
      <w:r w:rsidR="008B7120">
        <w:t xml:space="preserve"> 82 % (!) d</w:t>
      </w:r>
      <w:r w:rsidR="000116AB">
        <w:t>er Unternehmen erwarten steigende Beschaffungskosten in den</w:t>
      </w:r>
      <w:r w:rsidR="00FC5EAE">
        <w:t xml:space="preserve"> kommenden Monaten – in d</w:t>
      </w:r>
      <w:r w:rsidR="000116AB">
        <w:t xml:space="preserve">er Bauwirtschaft sind es sogar 92 % der Unternehmen. Die stark steigenden Beschaffungskosten werden sich mit einiger Verzögerung auch bei den Verkaufspreisen </w:t>
      </w:r>
      <w:r w:rsidR="00FC5EAE">
        <w:t xml:space="preserve">und </w:t>
      </w:r>
      <w:r w:rsidR="000116AB">
        <w:t xml:space="preserve">damit </w:t>
      </w:r>
      <w:r w:rsidR="00FC5EAE">
        <w:t xml:space="preserve">mittelfristig </w:t>
      </w:r>
      <w:r w:rsidR="000116AB">
        <w:t xml:space="preserve">bei der Inflationsentwicklung niederschlagen. So werden in den kommenden Monaten 50 % der befragten Unternehmen ihre Verkaufspreise </w:t>
      </w:r>
      <w:r w:rsidR="00FC5EAE">
        <w:t>anheben</w:t>
      </w:r>
      <w:r w:rsidR="005715F8">
        <w:t xml:space="preserve"> -</w:t>
      </w:r>
      <w:r w:rsidR="00FC5EAE">
        <w:t xml:space="preserve"> </w:t>
      </w:r>
      <w:r w:rsidR="000116AB">
        <w:t xml:space="preserve"> im Handel sind es sogar 63 % und in </w:t>
      </w:r>
      <w:r w:rsidR="00EA11FA">
        <w:t xml:space="preserve">der </w:t>
      </w:r>
      <w:r w:rsidR="000116AB">
        <w:t xml:space="preserve">Industrie 61 %. Die Gefahr, dass sich dadurch eine </w:t>
      </w:r>
      <w:r w:rsidR="00FC5EAE">
        <w:t xml:space="preserve">Preis-Lohnspirale in Gang setzt, </w:t>
      </w:r>
      <w:r w:rsidR="000116AB">
        <w:t>welche den Aufschwung der Wirtschaft</w:t>
      </w:r>
      <w:r w:rsidR="00FC5EAE">
        <w:t xml:space="preserve"> zumindest</w:t>
      </w:r>
      <w:r w:rsidR="000116AB">
        <w:t xml:space="preserve"> abbremst</w:t>
      </w:r>
      <w:r w:rsidR="00EA11FA">
        <w:t>,</w:t>
      </w:r>
      <w:r w:rsidR="000116AB">
        <w:t xml:space="preserve"> </w:t>
      </w:r>
      <w:r w:rsidR="00FC5EAE">
        <w:t>ist durchaus realistisch</w:t>
      </w:r>
      <w:r w:rsidR="000116AB">
        <w:t>.</w:t>
      </w:r>
    </w:p>
    <w:p w:rsidR="00EA11FA" w:rsidRDefault="00EA11FA" w:rsidP="00D70C39"/>
    <w:p w:rsidR="00FC5EAE" w:rsidRPr="00FC5EAE" w:rsidRDefault="00FC5EAE" w:rsidP="00D70C39">
      <w:pPr>
        <w:rPr>
          <w:b/>
        </w:rPr>
      </w:pPr>
      <w:r w:rsidRPr="00FC5EAE">
        <w:rPr>
          <w:b/>
        </w:rPr>
        <w:t>Bewältigung des Fachkräftemangels i</w:t>
      </w:r>
      <w:r w:rsidR="008B5D9D">
        <w:rPr>
          <w:b/>
        </w:rPr>
        <w:t xml:space="preserve">st </w:t>
      </w:r>
      <w:r w:rsidRPr="00FC5EAE">
        <w:rPr>
          <w:b/>
        </w:rPr>
        <w:t>die größte betriebliche Herausforderungen 2020/2021</w:t>
      </w:r>
      <w:r w:rsidR="00261CB9">
        <w:rPr>
          <w:b/>
        </w:rPr>
        <w:t>:</w:t>
      </w:r>
    </w:p>
    <w:p w:rsidR="00D06639" w:rsidRDefault="00C9417B" w:rsidP="00D70C39">
      <w:r>
        <w:t>Für 70 % der befragten Unternehmen ist/wird der Fachkräftemangel die größte Herausforderung im Zeitraum 2021/2022 sein</w:t>
      </w:r>
      <w:r w:rsidR="006713EB">
        <w:t xml:space="preserve"> -</w:t>
      </w:r>
      <w:r>
        <w:t xml:space="preserve"> noch zu Jahresanfang gaben „erst“</w:t>
      </w:r>
      <w:r w:rsidR="006713EB">
        <w:t xml:space="preserve"> 53 % der Betriebe de</w:t>
      </w:r>
      <w:r w:rsidR="00EA11FA">
        <w:t>n</w:t>
      </w:r>
      <w:r w:rsidR="006713EB">
        <w:t xml:space="preserve"> Fachkräftemangel als große Herausforderung an. Durchaus damit verbunden sind auch die steigenden Arbeitskosten</w:t>
      </w:r>
      <w:r w:rsidR="00EA11FA">
        <w:t xml:space="preserve"> </w:t>
      </w:r>
      <w:r w:rsidR="006713EB">
        <w:t>-</w:t>
      </w:r>
      <w:r w:rsidR="00EA11FA">
        <w:t xml:space="preserve"> </w:t>
      </w:r>
      <w:r w:rsidR="006713EB">
        <w:t xml:space="preserve">diese </w:t>
      </w:r>
      <w:r w:rsidR="00760703">
        <w:t>s</w:t>
      </w:r>
      <w:r w:rsidR="006713EB">
        <w:t xml:space="preserve">tellen 48 % </w:t>
      </w:r>
      <w:r w:rsidR="00760703">
        <w:t xml:space="preserve">der Betriebe </w:t>
      </w:r>
      <w:r w:rsidR="006713EB">
        <w:t xml:space="preserve">vor eine </w:t>
      </w:r>
      <w:r w:rsidR="00760703">
        <w:t>große</w:t>
      </w:r>
      <w:r w:rsidR="006713EB">
        <w:t xml:space="preserve"> Herausforderung.</w:t>
      </w:r>
      <w:r w:rsidR="00D06639">
        <w:t xml:space="preserve"> Die mangelnde Versorgung mit </w:t>
      </w:r>
      <w:r w:rsidR="00D06639">
        <w:lastRenderedPageBreak/>
        <w:t>Rohstoffen führt zunehmend auch zu Lieferkettenprobleme (47 %)</w:t>
      </w:r>
      <w:r w:rsidR="008B5D9D">
        <w:t>. D</w:t>
      </w:r>
      <w:r w:rsidR="00D06639">
        <w:t>ie dynamische Entwicklung bei den</w:t>
      </w:r>
      <w:r w:rsidR="008B5D9D">
        <w:t xml:space="preserve"> Energie- und </w:t>
      </w:r>
      <w:r w:rsidR="00D06639">
        <w:t xml:space="preserve">Rohstoffpreisen </w:t>
      </w:r>
      <w:r w:rsidR="008B5D9D">
        <w:t>ist für 48 % ein großes Problem</w:t>
      </w:r>
      <w:r w:rsidR="00D06639">
        <w:t xml:space="preserve">. Die Rückzahlung von Schulden bzw. Liquiditätsengpässe </w:t>
      </w:r>
      <w:r w:rsidR="008B5D9D">
        <w:t xml:space="preserve">aufgrund der Auswirkungen der Pandemie </w:t>
      </w:r>
      <w:r w:rsidR="00D06639">
        <w:t xml:space="preserve">haben </w:t>
      </w:r>
      <w:r w:rsidR="008B5D9D">
        <w:t>hingegen</w:t>
      </w:r>
      <w:r w:rsidR="00D06639">
        <w:t xml:space="preserve"> stark an Bedeutung verloren: diese sind nur mehr für 13 % bzw. für 8 %</w:t>
      </w:r>
      <w:r w:rsidR="00950C45">
        <w:t xml:space="preserve"> </w:t>
      </w:r>
      <w:r w:rsidR="00D06639">
        <w:t xml:space="preserve">eine </w:t>
      </w:r>
      <w:r w:rsidR="00950C45">
        <w:t xml:space="preserve">große </w:t>
      </w:r>
      <w:r w:rsidR="002B5E9F">
        <w:t>7</w:t>
      </w:r>
      <w:r w:rsidR="00D06639">
        <w:t>erausforderung. Trotz zum Teil erheblicher</w:t>
      </w:r>
      <w:r w:rsidR="003420C9">
        <w:t xml:space="preserve"> Probleme </w:t>
      </w:r>
      <w:r w:rsidR="00D06639">
        <w:t>bei der Umsetzung</w:t>
      </w:r>
      <w:r w:rsidR="003420C9">
        <w:t xml:space="preserve"> einzelner </w:t>
      </w:r>
      <w:r w:rsidR="00D06639">
        <w:t>Unterstützungsmaßnahmen in der Praxis</w:t>
      </w:r>
      <w:r w:rsidR="003420C9">
        <w:t xml:space="preserve"> dürfte die Treffsicherheit</w:t>
      </w:r>
      <w:r w:rsidR="00F203B8">
        <w:t xml:space="preserve"> der Corona-Förderungen insgesam</w:t>
      </w:r>
      <w:r w:rsidR="002B6D07">
        <w:t>t</w:t>
      </w:r>
      <w:r w:rsidR="00F203B8">
        <w:t xml:space="preserve"> </w:t>
      </w:r>
      <w:r w:rsidR="003420C9">
        <w:t>gewährleistet gewesen sein.</w:t>
      </w:r>
    </w:p>
    <w:p w:rsidR="00760703" w:rsidRDefault="003C14C0" w:rsidP="00760703">
      <w:pPr>
        <w:jc w:val="center"/>
      </w:pPr>
      <w:r>
        <w:rPr>
          <w:noProof/>
          <w:lang w:eastAsia="de-AT"/>
        </w:rPr>
        <w:drawing>
          <wp:inline distT="0" distB="0" distL="0" distR="0">
            <wp:extent cx="5760720" cy="2893060"/>
            <wp:effectExtent l="0" t="0" r="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erausforderungen_So2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703" w:rsidRPr="005715F8" w:rsidRDefault="005715F8" w:rsidP="00D70C39">
      <w:pPr>
        <w:rPr>
          <w:b/>
        </w:rPr>
      </w:pPr>
      <w:r w:rsidRPr="005715F8">
        <w:rPr>
          <w:b/>
        </w:rPr>
        <w:t>Durchaus Zufriedenheit mit den Corona-Wirtschaftshilfen:</w:t>
      </w:r>
    </w:p>
    <w:p w:rsidR="00CE384C" w:rsidRDefault="00CE384C" w:rsidP="00D70C39">
      <w:r>
        <w:t>Rund 1</w:t>
      </w:r>
      <w:r w:rsidR="002B5E9F">
        <w:t>7</w:t>
      </w:r>
      <w:r>
        <w:t xml:space="preserve"> % der befragten Unternehmen bewerten die Wirtschaftshilfe</w:t>
      </w:r>
      <w:r w:rsidR="002B6D07">
        <w:t>n</w:t>
      </w:r>
      <w:r>
        <w:t xml:space="preserve"> </w:t>
      </w:r>
      <w:r w:rsidR="00DD66EC">
        <w:t>als sehr gut; 3</w:t>
      </w:r>
      <w:r w:rsidR="006D4D6A">
        <w:t>8</w:t>
      </w:r>
      <w:r>
        <w:t xml:space="preserve"> % als </w:t>
      </w:r>
      <w:r w:rsidR="00DD66EC">
        <w:t>eher</w:t>
      </w:r>
      <w:r>
        <w:t xml:space="preserve"> gut und rund 3</w:t>
      </w:r>
      <w:r w:rsidR="006D4D6A">
        <w:t>2</w:t>
      </w:r>
      <w:r>
        <w:t xml:space="preserve"> % </w:t>
      </w:r>
      <w:r w:rsidR="005715F8">
        <w:t>als</w:t>
      </w:r>
      <w:r>
        <w:t xml:space="preserve"> angemessen.</w:t>
      </w:r>
      <w:r w:rsidR="00C43220">
        <w:t xml:space="preserve"> </w:t>
      </w:r>
      <w:r w:rsidR="00DD66EC">
        <w:t>Sehr k</w:t>
      </w:r>
      <w:r w:rsidR="00C43220">
        <w:t>ritisch werden hingegen die Wirtschaftshilfen nur von rund 1</w:t>
      </w:r>
      <w:r w:rsidR="006D4D6A">
        <w:t>3</w:t>
      </w:r>
      <w:r w:rsidR="00C43220">
        <w:t xml:space="preserve"> % der Betriebe bewertet. Hingegen kritisieren rund ein Drittel der Unternehmen </w:t>
      </w:r>
      <w:r w:rsidR="005715F8">
        <w:t xml:space="preserve">die </w:t>
      </w:r>
      <w:r w:rsidR="00C43220">
        <w:t xml:space="preserve">Kommunikation und Koordination der Maßnahmen durch die öffentliche Hand. </w:t>
      </w:r>
      <w:r w:rsidR="00DD66EC">
        <w:t>D</w:t>
      </w:r>
      <w:r w:rsidR="00C43220">
        <w:t>ie E</w:t>
      </w:r>
      <w:r w:rsidR="00DD66EC">
        <w:t>instellung zur Umsetzung der Impf</w:t>
      </w:r>
      <w:r w:rsidR="00B127BE">
        <w:t>s</w:t>
      </w:r>
      <w:r w:rsidR="00C43220">
        <w:t>trategie des Bundes</w:t>
      </w:r>
      <w:r w:rsidR="00DD66EC">
        <w:t xml:space="preserve"> und der Länder dürfte sich hingegen </w:t>
      </w:r>
      <w:r w:rsidR="00C43220">
        <w:t>in den letzten Wochen zum Teil deutlich gebessert haben:</w:t>
      </w:r>
      <w:r w:rsidR="00DD66EC">
        <w:t xml:space="preserve"> </w:t>
      </w:r>
      <w:r w:rsidR="004D1E79">
        <w:t>A</w:t>
      </w:r>
      <w:r w:rsidR="00DD66EC">
        <w:t xml:space="preserve">ktuell bewerten nur rund </w:t>
      </w:r>
      <w:r w:rsidR="004D1E79">
        <w:t xml:space="preserve">19% </w:t>
      </w:r>
      <w:r w:rsidR="00DD66EC">
        <w:t>der Unternehmen</w:t>
      </w:r>
      <w:r w:rsidR="004D1E79">
        <w:t xml:space="preserve"> die Vorgehensweise bei der Impfs</w:t>
      </w:r>
      <w:r w:rsidR="005715F8">
        <w:t>trategie als sehr kritisch.</w:t>
      </w:r>
    </w:p>
    <w:p w:rsidR="003420C9" w:rsidRDefault="003420C9" w:rsidP="00D70C39">
      <w:r>
        <w:t>Insgesamt geben ein Drittel der Unternehmen an</w:t>
      </w:r>
      <w:r w:rsidR="00CE384C">
        <w:t xml:space="preserve">, </w:t>
      </w:r>
      <w:r>
        <w:t>dass</w:t>
      </w:r>
      <w:r w:rsidR="008C2C8C">
        <w:t xml:space="preserve"> sie</w:t>
      </w:r>
      <w:r>
        <w:t xml:space="preserve"> bereits das </w:t>
      </w:r>
      <w:r w:rsidR="00CE384C">
        <w:t>Vorkrisen</w:t>
      </w:r>
      <w:r w:rsidR="00B127BE">
        <w:t>n</w:t>
      </w:r>
      <w:r w:rsidR="00CE384C">
        <w:t>iveau</w:t>
      </w:r>
      <w:r>
        <w:t xml:space="preserve"> in ihrer Geschäftstätigkeit wieder erreicht haben;</w:t>
      </w:r>
      <w:r w:rsidR="008E3C49">
        <w:t xml:space="preserve"> weitere knapp 10 % werden dies noch innerhalb dieses Jahres erreichen. </w:t>
      </w:r>
      <w:r w:rsidR="00CE384C">
        <w:t xml:space="preserve">Nur 6 % der Betriebe geben an, </w:t>
      </w:r>
      <w:r w:rsidR="008E3C49">
        <w:t xml:space="preserve">dass die Bewältigung der Krise für sie mehr als drei Jahre dauern wird bzw. dass auf absehbare Zeit das Vorkrisen-Niveau nicht wieder erreicht werden </w:t>
      </w:r>
      <w:r w:rsidR="008C2C8C">
        <w:t>kann</w:t>
      </w:r>
      <w:r w:rsidR="008E3C49">
        <w:t>.</w:t>
      </w:r>
    </w:p>
    <w:p w:rsidR="00A97284" w:rsidRDefault="00A9728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E3C49" w:rsidRDefault="00A97284" w:rsidP="00426CF5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de-AT"/>
        </w:rPr>
        <w:lastRenderedPageBreak/>
        <w:drawing>
          <wp:inline distT="0" distB="0" distL="0" distR="0">
            <wp:extent cx="5760720" cy="2338705"/>
            <wp:effectExtent l="0" t="0" r="0" b="444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orkrisenniveau_So2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20" w:rsidRDefault="00B30420" w:rsidP="00B30420">
      <w:pPr>
        <w:spacing w:line="240" w:lineRule="auto"/>
        <w:rPr>
          <w:b/>
        </w:rPr>
      </w:pPr>
      <w:r w:rsidRPr="00264B56">
        <w:rPr>
          <w:b/>
        </w:rPr>
        <w:t>Um den Konjunkturaufschwung nachhaltig abzusichern sind ein Bündel von Maßnahmen auf Bund</w:t>
      </w:r>
      <w:r>
        <w:rPr>
          <w:b/>
        </w:rPr>
        <w:t xml:space="preserve">es- und Landesebene erforderlich. </w:t>
      </w:r>
    </w:p>
    <w:p w:rsidR="00B30420" w:rsidRPr="00673F46" w:rsidRDefault="00B30420" w:rsidP="00B30420">
      <w:pPr>
        <w:spacing w:line="240" w:lineRule="auto"/>
      </w:pPr>
      <w:r w:rsidRPr="00673F46">
        <w:t xml:space="preserve">Die Wirtschaftskammer Tirol hat hierfür das </w:t>
      </w:r>
      <w:r w:rsidRPr="008E1FC1">
        <w:rPr>
          <w:b/>
        </w:rPr>
        <w:t>Restart-Programm</w:t>
      </w:r>
      <w:r w:rsidRPr="00673F46">
        <w:t xml:space="preserve"> entwickelt. Hier ein Auszug der wichtigsten Maßnahmen</w:t>
      </w:r>
      <w:r>
        <w:t xml:space="preserve">: </w:t>
      </w:r>
    </w:p>
    <w:p w:rsidR="00B30420" w:rsidRDefault="00B30420" w:rsidP="00B30420">
      <w:pPr>
        <w:spacing w:line="240" w:lineRule="auto"/>
      </w:pPr>
      <w:r w:rsidRPr="00264B56">
        <w:rPr>
          <w:b/>
        </w:rPr>
        <w:t xml:space="preserve">Impfen, Impfen, Impfen: </w:t>
      </w:r>
      <w:r>
        <w:t>Das Auftreten neuer Virus-Varianten macht es erforderlich</w:t>
      </w:r>
      <w:r w:rsidR="00D165F8">
        <w:t>,</w:t>
      </w:r>
      <w:r>
        <w:t xml:space="preserve"> die Impfquote bis Herbst 2021 deutlich zu heben. Zielsetzung sollte eine Vollimmunisierung von 85 % der über 16-jährigen Tiroler</w:t>
      </w:r>
      <w:r w:rsidR="00D165F8">
        <w:t>i</w:t>
      </w:r>
      <w:r>
        <w:t xml:space="preserve">nnen und Tiroler bis zum Herbst 2021 </w:t>
      </w:r>
      <w:r w:rsidR="00D165F8">
        <w:t>sein.</w:t>
      </w:r>
      <w:r>
        <w:t xml:space="preserve"> Voraussetzung ist die weitere Verfügbarkeit von niederschwelligen Impfangeboten (</w:t>
      </w:r>
      <w:proofErr w:type="spellStart"/>
      <w:r>
        <w:t>d.h.</w:t>
      </w:r>
      <w:r w:rsidR="00D165F8">
        <w:t>vor</w:t>
      </w:r>
      <w:proofErr w:type="spellEnd"/>
      <w:r w:rsidR="00D165F8">
        <w:t xml:space="preserve"> allem</w:t>
      </w:r>
      <w:r>
        <w:t xml:space="preserve"> öffentliche Impfzentren in allen Bezirken)</w:t>
      </w:r>
    </w:p>
    <w:p w:rsidR="00B30420" w:rsidRDefault="00B30420" w:rsidP="00B30420">
      <w:pPr>
        <w:spacing w:line="240" w:lineRule="auto"/>
      </w:pPr>
      <w:r w:rsidRPr="00EC0DCC">
        <w:rPr>
          <w:b/>
        </w:rPr>
        <w:t>Verlängerung der Unterstützungsmaßnahmen für besonders hart getroffene Branchen</w:t>
      </w:r>
      <w:r>
        <w:t xml:space="preserve"> (vor allem im Bereich Tourismus, touristischer Handel, Verans</w:t>
      </w:r>
      <w:r w:rsidR="00D165F8">
        <w:t xml:space="preserve">taltungswesen, Reisebusbranchen, Freizeitbetriebe </w:t>
      </w:r>
      <w:r>
        <w:t>etc.)</w:t>
      </w:r>
    </w:p>
    <w:p w:rsidR="00B30420" w:rsidRDefault="00B30420" w:rsidP="00B30420">
      <w:pPr>
        <w:spacing w:line="240" w:lineRule="auto"/>
        <w:jc w:val="both"/>
      </w:pPr>
      <w:r w:rsidRPr="00EC0DCC">
        <w:rPr>
          <w:b/>
        </w:rPr>
        <w:t>Bekämpfung des Fachkräftemangels</w:t>
      </w:r>
      <w:r>
        <w:t xml:space="preserve"> durch überregionale Vermittlung und Weiterentwicklung der </w:t>
      </w:r>
      <w:r w:rsidR="00D165F8">
        <w:t>Rot-W</w:t>
      </w:r>
      <w:r>
        <w:t>eiß-Rot-Karte; Ausweitung von Kinderbetreuungsmöglichkeiten, Intensivierung der Berufsorientierung, stärkere Förderung der innerbetrieblichen Ausbildung (Qualifikation nach Maß), etc.</w:t>
      </w:r>
    </w:p>
    <w:p w:rsidR="00B30420" w:rsidRDefault="00D165F8" w:rsidP="00B30420">
      <w:pPr>
        <w:spacing w:line="240" w:lineRule="auto"/>
        <w:jc w:val="both"/>
      </w:pPr>
      <w:r>
        <w:rPr>
          <w:b/>
        </w:rPr>
        <w:t>Erhöhung</w:t>
      </w:r>
      <w:r w:rsidR="00B30420" w:rsidRPr="00E86616">
        <w:rPr>
          <w:b/>
        </w:rPr>
        <w:t xml:space="preserve"> der Eigenkapitalquote</w:t>
      </w:r>
      <w:r w:rsidR="00B30420">
        <w:t xml:space="preserve"> durch steuerliche Gleichbehandlung fiktiver Eigenkapitalzins</w:t>
      </w:r>
      <w:r>
        <w:t>en</w:t>
      </w:r>
      <w:r w:rsidR="00B30420">
        <w:t xml:space="preserve"> mit Fremdkapitalzinsen, </w:t>
      </w:r>
      <w:r>
        <w:t>Aufbau</w:t>
      </w:r>
      <w:r w:rsidR="00B30420">
        <w:t xml:space="preserve"> eines Tirol-Fonds zur Eigenkapitalstärkung (Übernahme von Garantien für Eigenkapitalbeteiligung durch das Land Tirol)</w:t>
      </w:r>
    </w:p>
    <w:p w:rsidR="00B30420" w:rsidRDefault="00B30420" w:rsidP="00B30420">
      <w:pPr>
        <w:spacing w:line="240" w:lineRule="auto"/>
        <w:jc w:val="both"/>
      </w:pPr>
      <w:r w:rsidRPr="0016254A">
        <w:rPr>
          <w:b/>
        </w:rPr>
        <w:t>Steuerentlastung für Unternehmen und Konsumenten</w:t>
      </w:r>
      <w:r>
        <w:t>: d</w:t>
      </w:r>
      <w:r w:rsidR="007964AA">
        <w:t>.</w:t>
      </w:r>
      <w:r>
        <w:t>h</w:t>
      </w:r>
      <w:r w:rsidR="007964AA">
        <w:t>.</w:t>
      </w:r>
      <w:r>
        <w:t xml:space="preserve"> Reduktion der zweiten und dritten Stufe des Einkommensteuertarifs von 35 % auf 30 % und von 42 </w:t>
      </w:r>
      <w:r w:rsidR="007964AA">
        <w:t>%</w:t>
      </w:r>
      <w:r>
        <w:t xml:space="preserve"> auf 40 %; Senkung der Körperschaftsteuer auf 20 %, Senkung der Umsatzsteuer für Reparaturleistungen auf 5 % sowie Verlängerung der Umsatzsteuersenkung im Tourismu</w:t>
      </w:r>
      <w:bookmarkStart w:id="0" w:name="_GoBack"/>
      <w:bookmarkEnd w:id="0"/>
      <w:r>
        <w:t>s (5 % Umsatzsteue</w:t>
      </w:r>
      <w:r w:rsidR="007964AA">
        <w:t>r), Senkung der Lohnnebenkosten, etc.</w:t>
      </w:r>
    </w:p>
    <w:p w:rsidR="00B30420" w:rsidRDefault="00B30420" w:rsidP="00B30420">
      <w:pPr>
        <w:spacing w:line="240" w:lineRule="auto"/>
        <w:jc w:val="both"/>
      </w:pPr>
      <w:r w:rsidRPr="008E1FC1">
        <w:rPr>
          <w:b/>
        </w:rPr>
        <w:t>Beschleunigung von Genehmigungsverfahren</w:t>
      </w:r>
      <w:r>
        <w:t xml:space="preserve">, zum Beispiel durch Ausweitung der </w:t>
      </w:r>
      <w:proofErr w:type="spellStart"/>
      <w:r>
        <w:t>GenehmigungsfreistellungsVO</w:t>
      </w:r>
      <w:proofErr w:type="spellEnd"/>
      <w:r>
        <w:t xml:space="preserve"> für weitere kleinere Betriebsanlagen; digitale Verfahrenseinreichungen in allen Behördenverfahren, etc.</w:t>
      </w:r>
    </w:p>
    <w:p w:rsidR="00B127BE" w:rsidRPr="00B30420" w:rsidRDefault="00B127BE" w:rsidP="00B127BE">
      <w:pPr>
        <w:rPr>
          <w:b/>
          <w:bCs/>
          <w:sz w:val="20"/>
          <w:szCs w:val="20"/>
          <w:u w:val="single"/>
        </w:rPr>
      </w:pPr>
    </w:p>
    <w:p w:rsidR="00B127BE" w:rsidRPr="00DE6FA5" w:rsidRDefault="00B127BE" w:rsidP="00B127BE">
      <w:pPr>
        <w:rPr>
          <w:sz w:val="18"/>
          <w:szCs w:val="18"/>
          <w:u w:val="single"/>
        </w:rPr>
      </w:pPr>
      <w:r w:rsidRPr="00DE6FA5">
        <w:rPr>
          <w:b/>
          <w:bCs/>
          <w:sz w:val="18"/>
          <w:szCs w:val="18"/>
          <w:u w:val="single"/>
          <w:lang w:val="de-DE"/>
        </w:rPr>
        <w:t>Methodischer Hinweis:</w:t>
      </w:r>
    </w:p>
    <w:p w:rsidR="00B127BE" w:rsidRPr="00DE6FA5" w:rsidRDefault="00B127BE" w:rsidP="00B127BE">
      <w:pPr>
        <w:spacing w:line="240" w:lineRule="auto"/>
        <w:rPr>
          <w:sz w:val="18"/>
          <w:szCs w:val="18"/>
        </w:rPr>
      </w:pPr>
      <w:r w:rsidRPr="00DE6FA5">
        <w:rPr>
          <w:sz w:val="18"/>
          <w:szCs w:val="18"/>
        </w:rPr>
        <w:t xml:space="preserve">Die aktuellen Ergebnisse beruhen auf Antworten von 219 Unternehmen mit mehr als 40.000 </w:t>
      </w:r>
      <w:proofErr w:type="spellStart"/>
      <w:r w:rsidRPr="00DE6FA5">
        <w:rPr>
          <w:sz w:val="18"/>
          <w:szCs w:val="18"/>
        </w:rPr>
        <w:t>MitarbeiterInnen</w:t>
      </w:r>
      <w:proofErr w:type="spellEnd"/>
      <w:r w:rsidRPr="00DE6FA5">
        <w:rPr>
          <w:sz w:val="18"/>
          <w:szCs w:val="18"/>
        </w:rPr>
        <w:t>.</w:t>
      </w:r>
    </w:p>
    <w:p w:rsidR="00B127BE" w:rsidRPr="00DE6FA5" w:rsidRDefault="00B127BE" w:rsidP="00B127BE">
      <w:pPr>
        <w:spacing w:line="240" w:lineRule="auto"/>
        <w:rPr>
          <w:sz w:val="18"/>
          <w:szCs w:val="18"/>
        </w:rPr>
      </w:pPr>
      <w:r w:rsidRPr="00DE6FA5">
        <w:rPr>
          <w:sz w:val="18"/>
          <w:szCs w:val="18"/>
        </w:rPr>
        <w:t>Die Befragung wurde im Zeitraum 11.06.2021-02.07.2021durchgeführt.</w:t>
      </w:r>
    </w:p>
    <w:p w:rsidR="00B127BE" w:rsidRPr="00DE6FA5" w:rsidRDefault="00B127BE" w:rsidP="00B127BE">
      <w:pPr>
        <w:spacing w:line="240" w:lineRule="auto"/>
        <w:rPr>
          <w:sz w:val="18"/>
          <w:szCs w:val="18"/>
        </w:rPr>
      </w:pPr>
      <w:r w:rsidRPr="00DE6FA5">
        <w:rPr>
          <w:sz w:val="18"/>
          <w:szCs w:val="18"/>
          <w:lang w:val="de-DE"/>
        </w:rPr>
        <w:t xml:space="preserve">In den Berechnungen wurde die Anzahl der von den TOP-Unternehmen beschäftigten </w:t>
      </w:r>
      <w:proofErr w:type="spellStart"/>
      <w:r w:rsidRPr="00DE6FA5">
        <w:rPr>
          <w:sz w:val="18"/>
          <w:szCs w:val="18"/>
          <w:lang w:val="de-DE"/>
        </w:rPr>
        <w:t>MitarbeiterInnen</w:t>
      </w:r>
      <w:proofErr w:type="spellEnd"/>
      <w:r w:rsidRPr="00DE6FA5">
        <w:rPr>
          <w:sz w:val="18"/>
          <w:szCs w:val="18"/>
          <w:lang w:val="de-DE"/>
        </w:rPr>
        <w:t xml:space="preserve"> </w:t>
      </w:r>
    </w:p>
    <w:p w:rsidR="00B127BE" w:rsidRPr="00DE6FA5" w:rsidRDefault="00B127BE" w:rsidP="00B127BE">
      <w:pPr>
        <w:spacing w:line="240" w:lineRule="auto"/>
        <w:rPr>
          <w:sz w:val="18"/>
          <w:szCs w:val="18"/>
          <w:lang w:val="de-DE"/>
        </w:rPr>
      </w:pPr>
      <w:r w:rsidRPr="00DE6FA5">
        <w:rPr>
          <w:sz w:val="18"/>
          <w:szCs w:val="18"/>
          <w:lang w:val="de-DE"/>
        </w:rPr>
        <w:t>mit einem Gewichtungsfaktor berücksichtigt.</w:t>
      </w:r>
    </w:p>
    <w:p w:rsidR="008E3C49" w:rsidRPr="001C11DA" w:rsidRDefault="00B127BE" w:rsidP="00426CF5">
      <w:pPr>
        <w:spacing w:line="240" w:lineRule="auto"/>
        <w:rPr>
          <w:sz w:val="18"/>
          <w:szCs w:val="18"/>
          <w:u w:val="single"/>
        </w:rPr>
      </w:pPr>
      <w:r w:rsidRPr="00DE6FA5">
        <w:rPr>
          <w:sz w:val="18"/>
          <w:szCs w:val="18"/>
          <w:u w:val="single"/>
          <w:lang w:val="de-DE"/>
        </w:rPr>
        <w:t xml:space="preserve">Stand: </w:t>
      </w:r>
      <w:r w:rsidR="007964AA">
        <w:rPr>
          <w:sz w:val="18"/>
          <w:szCs w:val="18"/>
          <w:u w:val="single"/>
          <w:lang w:val="de-DE"/>
        </w:rPr>
        <w:t>8</w:t>
      </w:r>
      <w:r w:rsidR="002B6D07">
        <w:rPr>
          <w:sz w:val="18"/>
          <w:szCs w:val="18"/>
          <w:u w:val="single"/>
          <w:lang w:val="de-DE"/>
        </w:rPr>
        <w:t>.7.2021</w:t>
      </w:r>
    </w:p>
    <w:sectPr w:rsidR="008E3C49" w:rsidRPr="001C11DA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E7" w:rsidRDefault="00FF16E7" w:rsidP="001073D4">
      <w:pPr>
        <w:spacing w:after="0" w:line="240" w:lineRule="auto"/>
      </w:pPr>
      <w:r>
        <w:separator/>
      </w:r>
    </w:p>
  </w:endnote>
  <w:endnote w:type="continuationSeparator" w:id="0">
    <w:p w:rsidR="00FF16E7" w:rsidRDefault="00FF16E7" w:rsidP="0010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1543127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073D4" w:rsidRPr="00261CB9" w:rsidRDefault="001073D4">
        <w:pPr>
          <w:pStyle w:val="Fuzeile"/>
          <w:jc w:val="right"/>
          <w:rPr>
            <w:sz w:val="16"/>
            <w:szCs w:val="16"/>
          </w:rPr>
        </w:pPr>
        <w:r w:rsidRPr="00261CB9">
          <w:rPr>
            <w:sz w:val="16"/>
            <w:szCs w:val="16"/>
          </w:rPr>
          <w:fldChar w:fldCharType="begin"/>
        </w:r>
        <w:r w:rsidRPr="00261CB9">
          <w:rPr>
            <w:sz w:val="16"/>
            <w:szCs w:val="16"/>
          </w:rPr>
          <w:instrText>PAGE   \* MERGEFORMAT</w:instrText>
        </w:r>
        <w:r w:rsidRPr="00261CB9">
          <w:rPr>
            <w:sz w:val="16"/>
            <w:szCs w:val="16"/>
          </w:rPr>
          <w:fldChar w:fldCharType="separate"/>
        </w:r>
        <w:r w:rsidR="007964AA" w:rsidRPr="007964AA">
          <w:rPr>
            <w:noProof/>
            <w:sz w:val="16"/>
            <w:szCs w:val="16"/>
            <w:lang w:val="de-DE"/>
          </w:rPr>
          <w:t>7</w:t>
        </w:r>
        <w:r w:rsidRPr="00261CB9">
          <w:rPr>
            <w:sz w:val="16"/>
            <w:szCs w:val="16"/>
          </w:rPr>
          <w:fldChar w:fldCharType="end"/>
        </w:r>
      </w:p>
    </w:sdtContent>
  </w:sdt>
  <w:p w:rsidR="001073D4" w:rsidRDefault="00107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E7" w:rsidRDefault="00FF16E7" w:rsidP="001073D4">
      <w:pPr>
        <w:spacing w:after="0" w:line="240" w:lineRule="auto"/>
      </w:pPr>
      <w:r>
        <w:separator/>
      </w:r>
    </w:p>
  </w:footnote>
  <w:footnote w:type="continuationSeparator" w:id="0">
    <w:p w:rsidR="00FF16E7" w:rsidRDefault="00FF16E7" w:rsidP="0010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8A8"/>
    <w:multiLevelType w:val="hybridMultilevel"/>
    <w:tmpl w:val="D068DF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FA2"/>
    <w:multiLevelType w:val="hybridMultilevel"/>
    <w:tmpl w:val="F5EAD7AC"/>
    <w:lvl w:ilvl="0" w:tplc="0C07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27B"/>
    <w:multiLevelType w:val="hybridMultilevel"/>
    <w:tmpl w:val="0472C13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F2174"/>
    <w:multiLevelType w:val="hybridMultilevel"/>
    <w:tmpl w:val="4F5294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57272"/>
    <w:multiLevelType w:val="hybridMultilevel"/>
    <w:tmpl w:val="9C6456F6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43CF"/>
    <w:multiLevelType w:val="hybridMultilevel"/>
    <w:tmpl w:val="CB88CC3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93406"/>
    <w:multiLevelType w:val="hybridMultilevel"/>
    <w:tmpl w:val="3864E4AA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D26B8"/>
    <w:multiLevelType w:val="hybridMultilevel"/>
    <w:tmpl w:val="088898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42AB7"/>
    <w:multiLevelType w:val="hybridMultilevel"/>
    <w:tmpl w:val="823EE9B6"/>
    <w:lvl w:ilvl="0" w:tplc="C8B8E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45DB0"/>
    <w:multiLevelType w:val="hybridMultilevel"/>
    <w:tmpl w:val="10C266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71750"/>
    <w:multiLevelType w:val="hybridMultilevel"/>
    <w:tmpl w:val="632C2958"/>
    <w:lvl w:ilvl="0" w:tplc="26D655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36A72"/>
    <w:multiLevelType w:val="hybridMultilevel"/>
    <w:tmpl w:val="E96A4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5E7C7D-E448-49C5-BB9C-149DF958DD18}"/>
    <w:docVar w:name="dgnword-eventsink" w:val="104233088"/>
  </w:docVars>
  <w:rsids>
    <w:rsidRoot w:val="00841CB6"/>
    <w:rsid w:val="00007C6A"/>
    <w:rsid w:val="000116AB"/>
    <w:rsid w:val="00016C71"/>
    <w:rsid w:val="00040C95"/>
    <w:rsid w:val="00043586"/>
    <w:rsid w:val="00071C1F"/>
    <w:rsid w:val="0007624B"/>
    <w:rsid w:val="00087E0D"/>
    <w:rsid w:val="000966FF"/>
    <w:rsid w:val="000D0E12"/>
    <w:rsid w:val="000D620F"/>
    <w:rsid w:val="000D741E"/>
    <w:rsid w:val="000F0465"/>
    <w:rsid w:val="001073D4"/>
    <w:rsid w:val="001134FB"/>
    <w:rsid w:val="00124ECB"/>
    <w:rsid w:val="00127EE5"/>
    <w:rsid w:val="00150C99"/>
    <w:rsid w:val="0015226B"/>
    <w:rsid w:val="001915E2"/>
    <w:rsid w:val="0019633F"/>
    <w:rsid w:val="001A1BCF"/>
    <w:rsid w:val="001A7D7F"/>
    <w:rsid w:val="001B2A6B"/>
    <w:rsid w:val="001C11DA"/>
    <w:rsid w:val="001D3969"/>
    <w:rsid w:val="001D69EA"/>
    <w:rsid w:val="001E29B3"/>
    <w:rsid w:val="00203A5E"/>
    <w:rsid w:val="00211DD8"/>
    <w:rsid w:val="00211E97"/>
    <w:rsid w:val="00215F70"/>
    <w:rsid w:val="00217A35"/>
    <w:rsid w:val="00242957"/>
    <w:rsid w:val="00253206"/>
    <w:rsid w:val="00254DFB"/>
    <w:rsid w:val="00261CB9"/>
    <w:rsid w:val="002703E4"/>
    <w:rsid w:val="00275643"/>
    <w:rsid w:val="00277C19"/>
    <w:rsid w:val="002B3D1B"/>
    <w:rsid w:val="002B5E9F"/>
    <w:rsid w:val="002B6D07"/>
    <w:rsid w:val="002C0198"/>
    <w:rsid w:val="002C024C"/>
    <w:rsid w:val="002D30D7"/>
    <w:rsid w:val="002F0E69"/>
    <w:rsid w:val="002F397E"/>
    <w:rsid w:val="00312A91"/>
    <w:rsid w:val="00321590"/>
    <w:rsid w:val="0032260C"/>
    <w:rsid w:val="003317BF"/>
    <w:rsid w:val="003420C9"/>
    <w:rsid w:val="00344D6E"/>
    <w:rsid w:val="00357B50"/>
    <w:rsid w:val="00370659"/>
    <w:rsid w:val="003745BB"/>
    <w:rsid w:val="00384D99"/>
    <w:rsid w:val="003947B2"/>
    <w:rsid w:val="003955A4"/>
    <w:rsid w:val="003C14C0"/>
    <w:rsid w:val="003E123E"/>
    <w:rsid w:val="003E1FBC"/>
    <w:rsid w:val="003E5F19"/>
    <w:rsid w:val="003E6E0F"/>
    <w:rsid w:val="003F45FB"/>
    <w:rsid w:val="00404608"/>
    <w:rsid w:val="004074AB"/>
    <w:rsid w:val="00417B2B"/>
    <w:rsid w:val="004226A5"/>
    <w:rsid w:val="004269FB"/>
    <w:rsid w:val="00426CF5"/>
    <w:rsid w:val="004321F8"/>
    <w:rsid w:val="00441B1D"/>
    <w:rsid w:val="004463EA"/>
    <w:rsid w:val="0045561A"/>
    <w:rsid w:val="00463588"/>
    <w:rsid w:val="0048094C"/>
    <w:rsid w:val="004830C1"/>
    <w:rsid w:val="00490302"/>
    <w:rsid w:val="00494808"/>
    <w:rsid w:val="004A6DA5"/>
    <w:rsid w:val="004B2071"/>
    <w:rsid w:val="004B5554"/>
    <w:rsid w:val="004D0AFC"/>
    <w:rsid w:val="004D1E79"/>
    <w:rsid w:val="005016E0"/>
    <w:rsid w:val="005151FA"/>
    <w:rsid w:val="00517F0D"/>
    <w:rsid w:val="00523B0E"/>
    <w:rsid w:val="00535EBE"/>
    <w:rsid w:val="00547430"/>
    <w:rsid w:val="00547927"/>
    <w:rsid w:val="0056472E"/>
    <w:rsid w:val="005715F8"/>
    <w:rsid w:val="005771A5"/>
    <w:rsid w:val="00591525"/>
    <w:rsid w:val="0059524D"/>
    <w:rsid w:val="00595FF8"/>
    <w:rsid w:val="005A3BD0"/>
    <w:rsid w:val="005A614D"/>
    <w:rsid w:val="005A7853"/>
    <w:rsid w:val="005B2961"/>
    <w:rsid w:val="005D679F"/>
    <w:rsid w:val="005F3399"/>
    <w:rsid w:val="005F63E3"/>
    <w:rsid w:val="0060107E"/>
    <w:rsid w:val="00602C43"/>
    <w:rsid w:val="00603105"/>
    <w:rsid w:val="0063046D"/>
    <w:rsid w:val="0063503E"/>
    <w:rsid w:val="00636089"/>
    <w:rsid w:val="0065386F"/>
    <w:rsid w:val="00655CCF"/>
    <w:rsid w:val="0066684B"/>
    <w:rsid w:val="006713EB"/>
    <w:rsid w:val="006930BF"/>
    <w:rsid w:val="006A3987"/>
    <w:rsid w:val="006C00DD"/>
    <w:rsid w:val="006C2375"/>
    <w:rsid w:val="006D44D1"/>
    <w:rsid w:val="006D4D6A"/>
    <w:rsid w:val="006E085A"/>
    <w:rsid w:val="006E4E91"/>
    <w:rsid w:val="006F1AAD"/>
    <w:rsid w:val="007039E9"/>
    <w:rsid w:val="00713F39"/>
    <w:rsid w:val="007330F7"/>
    <w:rsid w:val="0073627A"/>
    <w:rsid w:val="007376A6"/>
    <w:rsid w:val="0074554C"/>
    <w:rsid w:val="007473F4"/>
    <w:rsid w:val="00760703"/>
    <w:rsid w:val="0076213B"/>
    <w:rsid w:val="007749E1"/>
    <w:rsid w:val="007964AA"/>
    <w:rsid w:val="007B0A2C"/>
    <w:rsid w:val="007B305B"/>
    <w:rsid w:val="007C0493"/>
    <w:rsid w:val="007E3019"/>
    <w:rsid w:val="007F43CA"/>
    <w:rsid w:val="00803462"/>
    <w:rsid w:val="00810171"/>
    <w:rsid w:val="008249C6"/>
    <w:rsid w:val="00826B35"/>
    <w:rsid w:val="00827991"/>
    <w:rsid w:val="00836F11"/>
    <w:rsid w:val="00841CB6"/>
    <w:rsid w:val="00870777"/>
    <w:rsid w:val="00876B82"/>
    <w:rsid w:val="00891EF2"/>
    <w:rsid w:val="008A2D7F"/>
    <w:rsid w:val="008B19A5"/>
    <w:rsid w:val="008B5D9D"/>
    <w:rsid w:val="008B7120"/>
    <w:rsid w:val="008C2C8C"/>
    <w:rsid w:val="008C68E2"/>
    <w:rsid w:val="008E3C49"/>
    <w:rsid w:val="008F374B"/>
    <w:rsid w:val="008F4DA4"/>
    <w:rsid w:val="009014F9"/>
    <w:rsid w:val="00903F52"/>
    <w:rsid w:val="00907D50"/>
    <w:rsid w:val="009119AC"/>
    <w:rsid w:val="00914A30"/>
    <w:rsid w:val="009240C2"/>
    <w:rsid w:val="00930FE2"/>
    <w:rsid w:val="00940CEE"/>
    <w:rsid w:val="00942080"/>
    <w:rsid w:val="00942BDD"/>
    <w:rsid w:val="00950C45"/>
    <w:rsid w:val="009A5E1D"/>
    <w:rsid w:val="009A7E4A"/>
    <w:rsid w:val="009D0249"/>
    <w:rsid w:val="009D07B1"/>
    <w:rsid w:val="009D16E8"/>
    <w:rsid w:val="009E7CD0"/>
    <w:rsid w:val="009F25C8"/>
    <w:rsid w:val="009F59E4"/>
    <w:rsid w:val="00A02569"/>
    <w:rsid w:val="00A2096F"/>
    <w:rsid w:val="00A23763"/>
    <w:rsid w:val="00A254F7"/>
    <w:rsid w:val="00A4243A"/>
    <w:rsid w:val="00A626B0"/>
    <w:rsid w:val="00A76DDC"/>
    <w:rsid w:val="00A80781"/>
    <w:rsid w:val="00A834F5"/>
    <w:rsid w:val="00A86C46"/>
    <w:rsid w:val="00A86FBF"/>
    <w:rsid w:val="00A90243"/>
    <w:rsid w:val="00A95B88"/>
    <w:rsid w:val="00A97284"/>
    <w:rsid w:val="00AA075B"/>
    <w:rsid w:val="00AA2ED9"/>
    <w:rsid w:val="00AC721B"/>
    <w:rsid w:val="00AE2B42"/>
    <w:rsid w:val="00AE3592"/>
    <w:rsid w:val="00B00357"/>
    <w:rsid w:val="00B127BE"/>
    <w:rsid w:val="00B23063"/>
    <w:rsid w:val="00B30420"/>
    <w:rsid w:val="00B44651"/>
    <w:rsid w:val="00B50B50"/>
    <w:rsid w:val="00B5493C"/>
    <w:rsid w:val="00B54C31"/>
    <w:rsid w:val="00B54C53"/>
    <w:rsid w:val="00B558D6"/>
    <w:rsid w:val="00B5770B"/>
    <w:rsid w:val="00B82886"/>
    <w:rsid w:val="00B9007B"/>
    <w:rsid w:val="00B94E60"/>
    <w:rsid w:val="00BA169F"/>
    <w:rsid w:val="00BC5F3F"/>
    <w:rsid w:val="00BD1F48"/>
    <w:rsid w:val="00BE6BC4"/>
    <w:rsid w:val="00BE6F4C"/>
    <w:rsid w:val="00C03A2C"/>
    <w:rsid w:val="00C101D8"/>
    <w:rsid w:val="00C15649"/>
    <w:rsid w:val="00C343C8"/>
    <w:rsid w:val="00C43220"/>
    <w:rsid w:val="00C474F2"/>
    <w:rsid w:val="00C5398D"/>
    <w:rsid w:val="00C54BAE"/>
    <w:rsid w:val="00C55C1E"/>
    <w:rsid w:val="00C64781"/>
    <w:rsid w:val="00C72CF0"/>
    <w:rsid w:val="00C80D46"/>
    <w:rsid w:val="00C85DE6"/>
    <w:rsid w:val="00C8691F"/>
    <w:rsid w:val="00C930AF"/>
    <w:rsid w:val="00C9417B"/>
    <w:rsid w:val="00CA3EB4"/>
    <w:rsid w:val="00CA76F2"/>
    <w:rsid w:val="00CB6FA9"/>
    <w:rsid w:val="00CC463E"/>
    <w:rsid w:val="00CE384C"/>
    <w:rsid w:val="00D06448"/>
    <w:rsid w:val="00D06639"/>
    <w:rsid w:val="00D165F8"/>
    <w:rsid w:val="00D27606"/>
    <w:rsid w:val="00D40121"/>
    <w:rsid w:val="00D414FE"/>
    <w:rsid w:val="00D507E1"/>
    <w:rsid w:val="00D57418"/>
    <w:rsid w:val="00D70C39"/>
    <w:rsid w:val="00D847B0"/>
    <w:rsid w:val="00DA1888"/>
    <w:rsid w:val="00DA5511"/>
    <w:rsid w:val="00DB6F8B"/>
    <w:rsid w:val="00DD66EC"/>
    <w:rsid w:val="00DE6FA5"/>
    <w:rsid w:val="00DE7749"/>
    <w:rsid w:val="00DF7FEF"/>
    <w:rsid w:val="00E0128E"/>
    <w:rsid w:val="00E06F32"/>
    <w:rsid w:val="00E212D3"/>
    <w:rsid w:val="00E37720"/>
    <w:rsid w:val="00E40302"/>
    <w:rsid w:val="00E4785E"/>
    <w:rsid w:val="00E548F3"/>
    <w:rsid w:val="00E66A22"/>
    <w:rsid w:val="00E8365E"/>
    <w:rsid w:val="00E9307F"/>
    <w:rsid w:val="00E9796B"/>
    <w:rsid w:val="00EA06CB"/>
    <w:rsid w:val="00EA11FA"/>
    <w:rsid w:val="00ED1106"/>
    <w:rsid w:val="00EE6B63"/>
    <w:rsid w:val="00F001B3"/>
    <w:rsid w:val="00F070CF"/>
    <w:rsid w:val="00F073A8"/>
    <w:rsid w:val="00F17B88"/>
    <w:rsid w:val="00F203B8"/>
    <w:rsid w:val="00F3347B"/>
    <w:rsid w:val="00F35B28"/>
    <w:rsid w:val="00F5529D"/>
    <w:rsid w:val="00F56A3A"/>
    <w:rsid w:val="00F624C1"/>
    <w:rsid w:val="00F63039"/>
    <w:rsid w:val="00F74372"/>
    <w:rsid w:val="00F82ACB"/>
    <w:rsid w:val="00F94340"/>
    <w:rsid w:val="00FA01D8"/>
    <w:rsid w:val="00FA1D66"/>
    <w:rsid w:val="00FB2E7F"/>
    <w:rsid w:val="00FC5EAE"/>
    <w:rsid w:val="00FF0114"/>
    <w:rsid w:val="00FF16E7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737C"/>
  <w15:chartTrackingRefBased/>
  <w15:docId w15:val="{98D1CB0B-4059-407B-8AE2-3B357F8C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09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52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09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72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0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3D4"/>
  </w:style>
  <w:style w:type="paragraph" w:styleId="Fuzeile">
    <w:name w:val="footer"/>
    <w:basedOn w:val="Standard"/>
    <w:link w:val="FuzeileZchn"/>
    <w:uiPriority w:val="99"/>
    <w:unhideWhenUsed/>
    <w:rsid w:val="0010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F87D-DBBC-4F43-8004-32C82E09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1904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Tirol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Garbislander Stefan, Mag., WKT-WP</dc:creator>
  <cp:keywords/>
  <dc:description/>
  <cp:lastModifiedBy>Garbislander Stefan, Mag., WKT-WP</cp:lastModifiedBy>
  <cp:revision>4</cp:revision>
  <cp:lastPrinted>2021-07-08T15:40:00Z</cp:lastPrinted>
  <dcterms:created xsi:type="dcterms:W3CDTF">2021-07-08T13:42:00Z</dcterms:created>
  <dcterms:modified xsi:type="dcterms:W3CDTF">2021-07-08T16:05:00Z</dcterms:modified>
</cp:coreProperties>
</file>